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28"/>
        </w:rPr>
      </w:pPr>
      <w:r>
        <w:rPr>
          <w:rFonts w:hint="eastAsia" w:ascii="黑体" w:hAnsi="黑体" w:eastAsia="黑体"/>
          <w:sz w:val="28"/>
        </w:rPr>
        <w:t>《</w:t>
      </w:r>
      <w:r>
        <w:rPr>
          <w:rFonts w:hint="eastAsia" w:ascii="黑体" w:hAnsi="黑体" w:eastAsia="黑体"/>
          <w:sz w:val="28"/>
          <w:lang w:val="en-US" w:eastAsia="zh-CN"/>
        </w:rPr>
        <w:t>教育名著选读</w:t>
      </w:r>
      <w:r>
        <w:rPr>
          <w:rFonts w:hint="eastAsia" w:ascii="黑体" w:hAnsi="黑体" w:eastAsia="黑体"/>
          <w:sz w:val="28"/>
        </w:rPr>
        <w:t>》课程教学大纲</w:t>
      </w:r>
    </w:p>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976"/>
        <w:gridCol w:w="1276"/>
        <w:gridCol w:w="3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jc w:val="center"/>
              <w:rPr>
                <w:rFonts w:ascii="楷体" w:hAnsi="楷体" w:eastAsia="楷体"/>
              </w:rPr>
            </w:pPr>
            <w:r>
              <w:rPr>
                <w:rFonts w:hint="eastAsia" w:ascii="楷体" w:hAnsi="楷体" w:eastAsia="楷体"/>
              </w:rPr>
              <w:t>英文名称</w:t>
            </w:r>
          </w:p>
        </w:tc>
        <w:tc>
          <w:tcPr>
            <w:tcW w:w="2976" w:type="dxa"/>
          </w:tcPr>
          <w:p>
            <w:r>
              <w:rPr>
                <w:rFonts w:hint="eastAsia"/>
              </w:rPr>
              <w:t>Selected Reading about Educational Literature</w:t>
            </w:r>
          </w:p>
        </w:tc>
        <w:tc>
          <w:tcPr>
            <w:tcW w:w="1276" w:type="dxa"/>
            <w:vAlign w:val="center"/>
          </w:tcPr>
          <w:p>
            <w:pPr>
              <w:jc w:val="center"/>
              <w:rPr>
                <w:rFonts w:ascii="楷体" w:hAnsi="楷体" w:eastAsia="楷体"/>
              </w:rPr>
            </w:pPr>
            <w:r>
              <w:rPr>
                <w:rFonts w:hint="eastAsia" w:ascii="楷体" w:hAnsi="楷体" w:eastAsia="楷体"/>
              </w:rPr>
              <w:t>课程代码</w:t>
            </w:r>
          </w:p>
        </w:tc>
        <w:tc>
          <w:tcPr>
            <w:tcW w:w="3169" w:type="dxa"/>
          </w:tcPr>
          <w:p>
            <w:r>
              <w:rPr>
                <w:rFonts w:hint="eastAsia"/>
              </w:rPr>
              <w:t>PEDE2036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jc w:val="center"/>
              <w:rPr>
                <w:rFonts w:ascii="楷体" w:hAnsi="楷体" w:eastAsia="楷体"/>
              </w:rPr>
            </w:pPr>
            <w:r>
              <w:rPr>
                <w:rFonts w:hint="eastAsia" w:ascii="楷体" w:hAnsi="楷体" w:eastAsia="楷体"/>
              </w:rPr>
              <w:t>课程性质</w:t>
            </w:r>
          </w:p>
        </w:tc>
        <w:tc>
          <w:tcPr>
            <w:tcW w:w="2976" w:type="dxa"/>
          </w:tcPr>
          <w:p>
            <w:r>
              <w:rPr>
                <w:rFonts w:hint="eastAsia"/>
                <w:lang w:val="en-US" w:eastAsia="zh-CN"/>
              </w:rPr>
              <w:t>专业</w:t>
            </w:r>
            <w:r>
              <w:rPr>
                <w:rFonts w:hint="eastAsia"/>
              </w:rPr>
              <w:t>选修课</w:t>
            </w:r>
          </w:p>
        </w:tc>
        <w:tc>
          <w:tcPr>
            <w:tcW w:w="1276" w:type="dxa"/>
            <w:vAlign w:val="center"/>
          </w:tcPr>
          <w:p>
            <w:pPr>
              <w:jc w:val="center"/>
              <w:rPr>
                <w:rFonts w:ascii="楷体" w:hAnsi="楷体" w:eastAsia="楷体"/>
              </w:rPr>
            </w:pPr>
            <w:r>
              <w:rPr>
                <w:rFonts w:hint="eastAsia" w:ascii="楷体" w:hAnsi="楷体" w:eastAsia="楷体"/>
              </w:rPr>
              <w:t>授课对象</w:t>
            </w:r>
          </w:p>
        </w:tc>
        <w:tc>
          <w:tcPr>
            <w:tcW w:w="3169" w:type="dxa"/>
          </w:tcPr>
          <w:p>
            <w:r>
              <w:rPr>
                <w:rFonts w:hint="eastAsia"/>
              </w:rPr>
              <w:t>教育学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jc w:val="center"/>
              <w:rPr>
                <w:rFonts w:ascii="楷体" w:hAnsi="楷体" w:eastAsia="楷体"/>
              </w:rPr>
            </w:pPr>
            <w:r>
              <w:rPr>
                <w:rFonts w:hint="eastAsia" w:ascii="楷体" w:hAnsi="楷体" w:eastAsia="楷体"/>
              </w:rPr>
              <w:t>学   分</w:t>
            </w:r>
          </w:p>
        </w:tc>
        <w:tc>
          <w:tcPr>
            <w:tcW w:w="2976" w:type="dxa"/>
          </w:tcPr>
          <w:p>
            <w:r>
              <w:rPr>
                <w:rFonts w:hint="eastAsia"/>
              </w:rPr>
              <w:t>2.</w:t>
            </w:r>
            <w:r>
              <w:rPr>
                <w:rFonts w:hint="eastAsia"/>
                <w:lang w:val="en-US" w:eastAsia="zh-CN"/>
              </w:rPr>
              <w:t>00</w:t>
            </w:r>
          </w:p>
        </w:tc>
        <w:tc>
          <w:tcPr>
            <w:tcW w:w="1276" w:type="dxa"/>
            <w:vAlign w:val="center"/>
          </w:tcPr>
          <w:p>
            <w:pPr>
              <w:jc w:val="center"/>
              <w:rPr>
                <w:rFonts w:ascii="楷体" w:hAnsi="楷体" w:eastAsia="楷体"/>
              </w:rPr>
            </w:pPr>
            <w:r>
              <w:rPr>
                <w:rFonts w:hint="eastAsia" w:ascii="楷体" w:hAnsi="楷体" w:eastAsia="楷体"/>
              </w:rPr>
              <w:t>学   时</w:t>
            </w:r>
          </w:p>
        </w:tc>
        <w:tc>
          <w:tcPr>
            <w:tcW w:w="3169" w:type="dxa"/>
          </w:tcPr>
          <w:p>
            <w:pPr>
              <w:rPr>
                <w:rFonts w:hint="eastAsia" w:eastAsiaTheme="minorEastAsia"/>
                <w:lang w:val="en-US" w:eastAsia="zh-CN"/>
              </w:rPr>
            </w:pPr>
            <w:r>
              <w:rPr>
                <w:rFonts w:hint="eastAsia"/>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jc w:val="center"/>
              <w:rPr>
                <w:rFonts w:ascii="楷体" w:hAnsi="楷体" w:eastAsia="楷体"/>
              </w:rPr>
            </w:pPr>
            <w:r>
              <w:rPr>
                <w:rFonts w:hint="eastAsia" w:ascii="楷体" w:hAnsi="楷体" w:eastAsia="楷体"/>
              </w:rPr>
              <w:t>主讲教师</w:t>
            </w:r>
          </w:p>
        </w:tc>
        <w:tc>
          <w:tcPr>
            <w:tcW w:w="2976" w:type="dxa"/>
          </w:tcPr>
          <w:p>
            <w:pPr>
              <w:rPr>
                <w:rFonts w:hint="eastAsia" w:eastAsiaTheme="minorEastAsia"/>
                <w:lang w:val="en-US" w:eastAsia="zh-CN"/>
              </w:rPr>
            </w:pPr>
            <w:r>
              <w:rPr>
                <w:rFonts w:hint="eastAsia"/>
                <w:lang w:val="en-US" w:eastAsia="zh-CN"/>
              </w:rPr>
              <w:t>彭彩霞</w:t>
            </w:r>
          </w:p>
        </w:tc>
        <w:tc>
          <w:tcPr>
            <w:tcW w:w="1276" w:type="dxa"/>
            <w:vAlign w:val="center"/>
          </w:tcPr>
          <w:p>
            <w:pPr>
              <w:jc w:val="center"/>
              <w:rPr>
                <w:rFonts w:ascii="楷体" w:hAnsi="楷体" w:eastAsia="楷体"/>
              </w:rPr>
            </w:pPr>
            <w:r>
              <w:rPr>
                <w:rFonts w:hint="eastAsia" w:ascii="楷体" w:hAnsi="楷体" w:eastAsia="楷体"/>
              </w:rPr>
              <w:t>编写日期</w:t>
            </w:r>
          </w:p>
        </w:tc>
        <w:tc>
          <w:tcPr>
            <w:tcW w:w="3169" w:type="dxa"/>
          </w:tcPr>
          <w:p>
            <w:r>
              <w:rPr>
                <w:rFonts w:hint="eastAsia"/>
              </w:rPr>
              <w:t>2016年</w:t>
            </w:r>
            <w:r>
              <w:rPr>
                <w:rFonts w:hint="eastAsia"/>
                <w:lang w:val="en-US" w:eastAsia="zh-CN"/>
              </w:rPr>
              <w:t>8</w:t>
            </w:r>
            <w:r>
              <w:rPr>
                <w:rFonts w:hint="eastAsia"/>
              </w:rPr>
              <w:t xml:space="preserve"> 月</w:t>
            </w:r>
            <w:r>
              <w:rPr>
                <w:rFonts w:hint="eastAsia"/>
                <w:lang w:val="en-US" w:eastAsia="zh-CN"/>
              </w:rPr>
              <w:t>10</w:t>
            </w:r>
            <w:r>
              <w:rPr>
                <w:rFonts w:hint="eastAsia"/>
              </w:rPr>
              <w:t xml:space="preserve"> 日</w:t>
            </w:r>
          </w:p>
        </w:tc>
      </w:tr>
    </w:tbl>
    <w:p/>
    <w:p>
      <w:pPr>
        <w:pStyle w:val="8"/>
        <w:numPr>
          <w:ilvl w:val="0"/>
          <w:numId w:val="1"/>
        </w:numPr>
        <w:spacing w:beforeLines="50" w:afterLines="50"/>
        <w:ind w:firstLineChars="0"/>
        <w:rPr>
          <w:rFonts w:ascii="黑体" w:hAnsi="黑体" w:eastAsia="黑体"/>
        </w:rPr>
      </w:pPr>
      <w:r>
        <w:rPr>
          <w:rFonts w:hint="eastAsia" w:ascii="黑体" w:hAnsi="黑体" w:eastAsia="黑体"/>
        </w:rPr>
        <w:t>课程简介</w:t>
      </w:r>
    </w:p>
    <w:p>
      <w:pPr>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教育名著选读</w:t>
      </w:r>
      <w:r>
        <w:rPr>
          <w:rFonts w:hint="eastAsia" w:asciiTheme="minorEastAsia" w:hAnsiTheme="minorEastAsia" w:cstheme="minorEastAsia"/>
          <w:lang w:val="en-US" w:eastAsia="zh-CN"/>
        </w:rPr>
        <w:t>》课程精选了七本经典教育名著，采取教师精讲与小组读书报告会结合的形式。这七本名著，就主题而言，有偏重家庭教育的，也有偏重学校及社会教育方面的；从国籍而言，涉及中国、日本、意大利、英国、前苏联等国家；从内容上而言，兼顾了思想性和趣味性。试图以这些书籍作引子，营造学生们乐读、广读和深读教育学经典原著的风气。</w:t>
      </w:r>
    </w:p>
    <w:p/>
    <w:p>
      <w:pPr>
        <w:pStyle w:val="8"/>
        <w:numPr>
          <w:ilvl w:val="0"/>
          <w:numId w:val="1"/>
        </w:numPr>
        <w:spacing w:beforeLines="50" w:afterLines="50"/>
        <w:ind w:firstLineChars="0"/>
        <w:rPr>
          <w:rFonts w:hint="eastAsia"/>
          <w:lang w:val="en-US" w:eastAsia="zh-CN"/>
        </w:rPr>
      </w:pPr>
      <w:r>
        <w:rPr>
          <w:rFonts w:hint="eastAsia" w:ascii="黑体" w:hAnsi="黑体" w:eastAsia="黑体"/>
        </w:rPr>
        <w:t>课程性质与目的</w:t>
      </w:r>
    </w:p>
    <w:p>
      <w:r>
        <w:rPr>
          <w:rFonts w:hint="eastAsia"/>
          <w:lang w:val="en-US" w:eastAsia="zh-CN"/>
        </w:rPr>
        <w:t xml:space="preserve">    该课程是教育学本科专业的一门选修课，共36学时。该课程旨在帮助学生通过学习中外教育思想的优秀遗产，更真实清晰地理解教育史上的重要教育思想，尤其是其思想实质以及思考教育问题的立场、方法及时代背景，能批判性地分析他们的教育理念，取其精华、去其糟粕，具备“剥取”的功夫；在吸取最广泛的精神资源的基础上，在独立的选择、消化、融会、创造中建立起自己的教育信念和理想。</w:t>
      </w:r>
    </w:p>
    <w:p/>
    <w:p>
      <w:pPr>
        <w:pStyle w:val="8"/>
        <w:numPr>
          <w:ilvl w:val="0"/>
          <w:numId w:val="1"/>
        </w:numPr>
        <w:spacing w:beforeLines="50" w:afterLines="50"/>
        <w:ind w:firstLineChars="0"/>
        <w:rPr>
          <w:rFonts w:ascii="黑体" w:hAnsi="黑体" w:eastAsia="黑体"/>
        </w:rPr>
      </w:pPr>
      <w:r>
        <w:rPr>
          <w:rFonts w:hint="eastAsia" w:ascii="黑体" w:hAnsi="黑体" w:eastAsia="黑体"/>
        </w:rPr>
        <w:t>教学内容与学时分配</w:t>
      </w:r>
    </w:p>
    <w:p>
      <w:pPr>
        <w:pStyle w:val="8"/>
        <w:numPr>
          <w:ilvl w:val="0"/>
          <w:numId w:val="0"/>
        </w:numPr>
        <w:rPr>
          <w:rFonts w:hint="eastAsia" w:ascii="仿宋" w:hAnsi="仿宋" w:eastAsia="仿宋"/>
          <w:b/>
          <w:bCs/>
          <w:lang w:val="en-US" w:eastAsia="zh-CN"/>
        </w:rPr>
      </w:pPr>
      <w:r>
        <w:rPr>
          <w:rFonts w:hint="eastAsia" w:ascii="仿宋" w:hAnsi="仿宋" w:eastAsia="仿宋"/>
          <w:b/>
          <w:bCs/>
          <w:lang w:val="en-US" w:eastAsia="zh-CN"/>
        </w:rPr>
        <w:t>第一编 家庭教育</w:t>
      </w:r>
    </w:p>
    <w:p>
      <w:pPr>
        <w:pStyle w:val="8"/>
        <w:numPr>
          <w:ilvl w:val="0"/>
          <w:numId w:val="2"/>
        </w:numPr>
        <w:rPr>
          <w:rFonts w:hint="eastAsia" w:ascii="仿宋" w:hAnsi="仿宋" w:eastAsia="仿宋"/>
          <w:lang w:val="en-US" w:eastAsia="zh-CN"/>
        </w:rPr>
      </w:pPr>
      <w:r>
        <w:rPr>
          <w:rFonts w:hint="eastAsia" w:ascii="仿宋" w:hAnsi="仿宋" w:eastAsia="仿宋"/>
          <w:lang w:val="en-US" w:eastAsia="zh-CN"/>
        </w:rPr>
        <w:t>《宝贝，你们好吗：梁启超给孩子们的400余封家书》（4学时）</w:t>
      </w:r>
    </w:p>
    <w:p>
      <w:pPr>
        <w:pStyle w:val="8"/>
        <w:numPr>
          <w:ilvl w:val="0"/>
          <w:numId w:val="0"/>
        </w:numPr>
        <w:ind w:firstLine="420"/>
        <w:rPr>
          <w:rFonts w:hint="eastAsia" w:ascii="仿宋" w:hAnsi="仿宋" w:eastAsia="仿宋"/>
          <w:lang w:val="en-US" w:eastAsia="zh-CN"/>
        </w:rPr>
      </w:pPr>
      <w:r>
        <w:rPr>
          <w:rFonts w:hint="eastAsia" w:ascii="仿宋" w:hAnsi="仿宋" w:eastAsia="仿宋"/>
          <w:lang w:val="en-US" w:eastAsia="zh-CN"/>
        </w:rPr>
        <w:t>内容：梁启超一生给子女写了400多封家书，总计百余万字，占他著作总量的十分之一，堪与《曾国藩家书》、《傅雷家书》并称三大家教典范。</w:t>
      </w:r>
    </w:p>
    <w:p>
      <w:pPr>
        <w:pStyle w:val="8"/>
        <w:numPr>
          <w:ilvl w:val="0"/>
          <w:numId w:val="0"/>
        </w:numPr>
        <w:rPr>
          <w:rFonts w:hint="eastAsia" w:ascii="仿宋" w:hAnsi="仿宋" w:eastAsia="仿宋"/>
          <w:lang w:val="en-US" w:eastAsia="zh-CN"/>
        </w:rPr>
      </w:pPr>
      <w:r>
        <w:rPr>
          <w:rFonts w:hint="eastAsia" w:ascii="仿宋" w:hAnsi="仿宋" w:eastAsia="仿宋"/>
          <w:lang w:val="en-US" w:eastAsia="zh-CN"/>
        </w:rPr>
        <w:t xml:space="preserve">    重点：这些家书有何历史背景；梁启超如何言传身教，以自己努力生活的身影与爱，为孩子建立信心；在学业、人生、情感、健康、理财观念等方面，梁启超如何给予每个孩子以特殊关注，有哪些超越时代的教育思想和方法。</w:t>
      </w:r>
    </w:p>
    <w:p>
      <w:pPr>
        <w:pStyle w:val="8"/>
        <w:numPr>
          <w:ilvl w:val="0"/>
          <w:numId w:val="0"/>
        </w:numPr>
        <w:rPr>
          <w:rFonts w:hint="eastAsia" w:ascii="仿宋" w:hAnsi="仿宋" w:eastAsia="仿宋"/>
          <w:lang w:val="en-US" w:eastAsia="zh-CN"/>
        </w:rPr>
      </w:pPr>
      <w:r>
        <w:rPr>
          <w:rFonts w:hint="eastAsia" w:ascii="仿宋" w:hAnsi="仿宋" w:eastAsia="仿宋"/>
          <w:lang w:val="en-US" w:eastAsia="zh-CN"/>
        </w:rPr>
        <w:t xml:space="preserve">   </w:t>
      </w:r>
    </w:p>
    <w:p>
      <w:pPr>
        <w:pStyle w:val="8"/>
        <w:numPr>
          <w:ilvl w:val="0"/>
          <w:numId w:val="2"/>
        </w:numPr>
        <w:rPr>
          <w:rFonts w:hint="eastAsia" w:ascii="仿宋" w:hAnsi="仿宋" w:eastAsia="仿宋"/>
          <w:lang w:val="en-US" w:eastAsia="zh-CN"/>
        </w:rPr>
      </w:pPr>
      <w:r>
        <w:rPr>
          <w:rFonts w:hint="eastAsia" w:ascii="仿宋" w:hAnsi="仿宋" w:eastAsia="仿宋"/>
          <w:lang w:val="en-US" w:eastAsia="zh-CN"/>
        </w:rPr>
        <w:t>《傅雷家书》（4学时）</w:t>
      </w:r>
    </w:p>
    <w:p>
      <w:pPr>
        <w:pStyle w:val="8"/>
        <w:numPr>
          <w:ilvl w:val="0"/>
          <w:numId w:val="0"/>
        </w:numPr>
        <w:ind w:firstLine="420"/>
        <w:rPr>
          <w:rFonts w:hint="eastAsia" w:ascii="仿宋" w:hAnsi="仿宋" w:eastAsia="仿宋"/>
          <w:lang w:val="en-US" w:eastAsia="zh-CN"/>
        </w:rPr>
      </w:pPr>
      <w:r>
        <w:rPr>
          <w:rFonts w:hint="eastAsia" w:ascii="仿宋" w:hAnsi="仿宋" w:eastAsia="仿宋"/>
          <w:lang w:val="en-US" w:eastAsia="zh-CN"/>
        </w:rPr>
        <w:t>内容：该书是文艺评论家以及美术评论家傅雷及其夫人写给儿子的书信编纂而成的一本家信集，摘编了傅雷先生1954年至1966年5月的186封书信，最长的一封信长达七千多字。</w:t>
      </w:r>
    </w:p>
    <w:p>
      <w:pPr>
        <w:pStyle w:val="8"/>
        <w:numPr>
          <w:ilvl w:val="0"/>
          <w:numId w:val="0"/>
        </w:numPr>
        <w:ind w:firstLine="420"/>
        <w:rPr>
          <w:rFonts w:hint="eastAsia" w:ascii="仿宋" w:hAnsi="仿宋" w:eastAsia="仿宋"/>
          <w:lang w:val="en-US" w:eastAsia="zh-CN"/>
        </w:rPr>
      </w:pPr>
      <w:r>
        <w:rPr>
          <w:rFonts w:hint="eastAsia" w:ascii="仿宋" w:hAnsi="仿宋" w:eastAsia="仿宋"/>
          <w:lang w:val="en-US" w:eastAsia="zh-CN"/>
        </w:rPr>
        <w:t>重点：傅雷夫妇如何在音乐、美术、哲学、历史、文学乃至健康等方面对儿子进行全方位的教育；对于我们的道德、思想、情操、文化修养方面有哪些启迪。</w:t>
      </w:r>
    </w:p>
    <w:p>
      <w:pPr>
        <w:pStyle w:val="8"/>
        <w:numPr>
          <w:ilvl w:val="0"/>
          <w:numId w:val="0"/>
        </w:numPr>
        <w:rPr>
          <w:rFonts w:hint="eastAsia" w:ascii="仿宋" w:hAnsi="仿宋" w:eastAsia="仿宋"/>
          <w:lang w:val="en-US" w:eastAsia="zh-CN"/>
        </w:rPr>
      </w:pPr>
      <w:r>
        <w:rPr>
          <w:rFonts w:hint="eastAsia" w:ascii="仿宋" w:hAnsi="仿宋" w:eastAsia="仿宋"/>
          <w:lang w:val="en-US" w:eastAsia="zh-CN"/>
        </w:rPr>
        <w:t xml:space="preserve">    </w:t>
      </w:r>
    </w:p>
    <w:p>
      <w:pPr>
        <w:pStyle w:val="8"/>
        <w:numPr>
          <w:ilvl w:val="0"/>
          <w:numId w:val="0"/>
        </w:numPr>
        <w:rPr>
          <w:rFonts w:hint="eastAsia" w:ascii="仿宋" w:hAnsi="仿宋" w:eastAsia="仿宋"/>
          <w:b/>
          <w:bCs/>
          <w:lang w:val="en-US" w:eastAsia="zh-CN"/>
        </w:rPr>
      </w:pPr>
      <w:r>
        <w:rPr>
          <w:rFonts w:hint="eastAsia" w:ascii="仿宋" w:hAnsi="仿宋" w:eastAsia="仿宋"/>
          <w:b/>
          <w:bCs/>
          <w:lang w:val="en-US" w:eastAsia="zh-CN"/>
        </w:rPr>
        <w:t>第二编 学校及社会教育</w:t>
      </w:r>
    </w:p>
    <w:p>
      <w:pPr>
        <w:pStyle w:val="8"/>
        <w:numPr>
          <w:ilvl w:val="0"/>
          <w:numId w:val="3"/>
        </w:numPr>
        <w:rPr>
          <w:rFonts w:hint="eastAsia" w:ascii="仿宋" w:hAnsi="仿宋" w:eastAsia="仿宋"/>
          <w:lang w:val="en-US" w:eastAsia="zh-CN"/>
        </w:rPr>
      </w:pPr>
      <w:r>
        <w:rPr>
          <w:rFonts w:hint="eastAsia" w:ascii="仿宋" w:hAnsi="仿宋" w:eastAsia="仿宋"/>
          <w:lang w:val="en-US" w:eastAsia="zh-CN"/>
        </w:rPr>
        <w:t>《教育漫话》（4学时）</w:t>
      </w:r>
    </w:p>
    <w:p>
      <w:pPr>
        <w:pStyle w:val="8"/>
        <w:numPr>
          <w:ilvl w:val="0"/>
          <w:numId w:val="0"/>
        </w:numPr>
        <w:ind w:firstLine="420"/>
        <w:rPr>
          <w:rFonts w:hint="eastAsia" w:ascii="仿宋" w:hAnsi="仿宋" w:eastAsia="仿宋"/>
          <w:lang w:val="en-US" w:eastAsia="zh-CN"/>
        </w:rPr>
      </w:pPr>
      <w:r>
        <w:rPr>
          <w:rFonts w:hint="eastAsia" w:ascii="仿宋" w:hAnsi="仿宋" w:eastAsia="仿宋"/>
          <w:lang w:val="en-US" w:eastAsia="zh-CN"/>
        </w:rPr>
        <w:t>内容：该书是英国唯物主义哲学家洛克的教育代表作。在西方教育史上第一次将教育分为体育、德育、智育三部分，并作了详细论述。和卢梭的《爱弥儿》（1762年）同为18世纪教育理论的经典文献。在英国，该书被认为整个世纪教育理论的权威著作。</w:t>
      </w:r>
    </w:p>
    <w:p>
      <w:pPr>
        <w:pStyle w:val="8"/>
        <w:numPr>
          <w:ilvl w:val="0"/>
          <w:numId w:val="0"/>
        </w:numPr>
        <w:ind w:firstLine="420"/>
        <w:rPr>
          <w:rFonts w:hint="eastAsia" w:ascii="仿宋" w:hAnsi="仿宋" w:eastAsia="仿宋"/>
          <w:lang w:val="en-US" w:eastAsia="zh-CN"/>
        </w:rPr>
      </w:pPr>
      <w:r>
        <w:rPr>
          <w:rFonts w:hint="eastAsia" w:ascii="仿宋" w:hAnsi="仿宋" w:eastAsia="仿宋"/>
          <w:lang w:val="en-US" w:eastAsia="zh-CN"/>
        </w:rPr>
        <w:t>重点：作者在健康教育、早期教育、德育、智育方面，提出了哪些好的主张和建议；有何时代和阶级的局限。</w:t>
      </w:r>
    </w:p>
    <w:p>
      <w:pPr>
        <w:pStyle w:val="8"/>
        <w:numPr>
          <w:ilvl w:val="0"/>
          <w:numId w:val="0"/>
        </w:numPr>
        <w:ind w:firstLine="420"/>
        <w:rPr>
          <w:rFonts w:hint="eastAsia" w:ascii="仿宋" w:hAnsi="仿宋" w:eastAsia="仿宋"/>
          <w:lang w:val="en-US" w:eastAsia="zh-CN"/>
        </w:rPr>
      </w:pPr>
    </w:p>
    <w:p>
      <w:pPr>
        <w:pStyle w:val="8"/>
        <w:numPr>
          <w:ilvl w:val="0"/>
          <w:numId w:val="3"/>
        </w:numPr>
        <w:rPr>
          <w:rFonts w:hint="eastAsia" w:ascii="仿宋" w:hAnsi="仿宋" w:eastAsia="仿宋"/>
          <w:lang w:val="en-US" w:eastAsia="zh-CN"/>
        </w:rPr>
      </w:pPr>
      <w:r>
        <w:rPr>
          <w:rFonts w:hint="eastAsia" w:ascii="仿宋" w:hAnsi="仿宋" w:eastAsia="仿宋"/>
          <w:lang w:val="en-US" w:eastAsia="zh-CN"/>
        </w:rPr>
        <w:t>《窗边的小豆豆》（4学时）</w:t>
      </w:r>
    </w:p>
    <w:p>
      <w:pPr>
        <w:pStyle w:val="8"/>
        <w:numPr>
          <w:ilvl w:val="0"/>
          <w:numId w:val="0"/>
        </w:numPr>
        <w:ind w:firstLine="420"/>
        <w:rPr>
          <w:rFonts w:hint="eastAsia" w:ascii="仿宋" w:hAnsi="仿宋" w:eastAsia="仿宋"/>
          <w:lang w:val="en-US" w:eastAsia="zh-CN"/>
        </w:rPr>
      </w:pPr>
      <w:r>
        <w:rPr>
          <w:rFonts w:hint="eastAsia" w:ascii="仿宋" w:hAnsi="仿宋" w:eastAsia="仿宋"/>
          <w:lang w:val="en-US" w:eastAsia="zh-CN"/>
        </w:rPr>
        <w:t>内容：该书于1981年出版之后，不仅在日本，在全球都引起了极大的反响。它分享了一个儿童成长的旅程，这个旅程是创造力的形成和社会适应的过程，是人与人之间相互理解和尊重的过程。巴学园是个梦想中的学校，它给现代教育界提供了一个美好的理想。</w:t>
      </w:r>
    </w:p>
    <w:p>
      <w:pPr>
        <w:pStyle w:val="8"/>
        <w:numPr>
          <w:ilvl w:val="0"/>
          <w:numId w:val="0"/>
        </w:numPr>
        <w:ind w:firstLine="420"/>
        <w:rPr>
          <w:rFonts w:hint="eastAsia" w:ascii="仿宋" w:hAnsi="仿宋" w:eastAsia="仿宋"/>
          <w:lang w:val="en-US" w:eastAsia="zh-CN"/>
        </w:rPr>
      </w:pPr>
      <w:r>
        <w:rPr>
          <w:rFonts w:hint="eastAsia" w:ascii="仿宋" w:hAnsi="仿宋" w:eastAsia="仿宋"/>
          <w:lang w:val="en-US" w:eastAsia="zh-CN"/>
        </w:rPr>
        <w:t>重点：巴学园里有哪些教学方式值得借鉴；以该书为镜子，我们可以发现成人自身存在哪些问题，今天的家庭和学校教育所遇到的一些困惑和痛苦的根源是什么。</w:t>
      </w:r>
    </w:p>
    <w:p>
      <w:pPr>
        <w:pStyle w:val="8"/>
        <w:numPr>
          <w:ilvl w:val="0"/>
          <w:numId w:val="0"/>
        </w:numPr>
        <w:rPr>
          <w:rFonts w:hint="eastAsia" w:ascii="仿宋" w:hAnsi="仿宋" w:eastAsia="仿宋"/>
          <w:lang w:val="en-US" w:eastAsia="zh-CN"/>
        </w:rPr>
      </w:pPr>
    </w:p>
    <w:p>
      <w:pPr>
        <w:pStyle w:val="8"/>
        <w:numPr>
          <w:ilvl w:val="0"/>
          <w:numId w:val="3"/>
        </w:numPr>
        <w:rPr>
          <w:rFonts w:hint="eastAsia" w:ascii="仿宋" w:hAnsi="仿宋" w:eastAsia="仿宋"/>
          <w:lang w:val="en-US" w:eastAsia="zh-CN"/>
        </w:rPr>
      </w:pPr>
      <w:r>
        <w:rPr>
          <w:rFonts w:hint="eastAsia" w:ascii="仿宋" w:hAnsi="仿宋" w:eastAsia="仿宋"/>
          <w:lang w:val="en-US" w:eastAsia="zh-CN"/>
        </w:rPr>
        <w:t>《给教师的一百条建议》（4学时）</w:t>
      </w:r>
    </w:p>
    <w:p>
      <w:pPr>
        <w:pStyle w:val="8"/>
        <w:numPr>
          <w:ilvl w:val="0"/>
          <w:numId w:val="0"/>
        </w:numPr>
        <w:rPr>
          <w:rFonts w:hint="eastAsia" w:ascii="仿宋" w:hAnsi="仿宋" w:eastAsia="仿宋"/>
          <w:lang w:val="en-US" w:eastAsia="zh-CN"/>
        </w:rPr>
      </w:pPr>
      <w:r>
        <w:rPr>
          <w:rFonts w:hint="eastAsia" w:ascii="仿宋" w:hAnsi="仿宋" w:eastAsia="仿宋"/>
          <w:lang w:val="en-US" w:eastAsia="zh-CN"/>
        </w:rPr>
        <w:t xml:space="preserve">    内容：《给教师的一百条建议》是前苏联著名教育实践家和教育理论家苏霍姆林斯基专为中小学教师而写的。书中每一条建议谈论一个问题，有生动的实际事例，也有精辟的理论分析，很多都是苏霍姆林斯基教育教学中的实例。</w:t>
      </w:r>
    </w:p>
    <w:p>
      <w:pPr>
        <w:pStyle w:val="8"/>
        <w:numPr>
          <w:ilvl w:val="0"/>
          <w:numId w:val="0"/>
        </w:numPr>
        <w:rPr>
          <w:rFonts w:hint="eastAsia" w:ascii="仿宋" w:hAnsi="仿宋" w:eastAsia="仿宋"/>
          <w:lang w:val="en-US" w:eastAsia="zh-CN"/>
        </w:rPr>
      </w:pPr>
      <w:r>
        <w:rPr>
          <w:rFonts w:hint="eastAsia" w:ascii="仿宋" w:hAnsi="仿宋" w:eastAsia="仿宋"/>
          <w:lang w:val="en-US" w:eastAsia="zh-CN"/>
        </w:rPr>
        <w:t xml:space="preserve">    重点：思考苏霍姆林斯基之教师研究的思想、终生备课的思想、减轻学生负担思想、差生教育观及其启示。</w:t>
      </w:r>
    </w:p>
    <w:p>
      <w:pPr>
        <w:pStyle w:val="8"/>
        <w:numPr>
          <w:ilvl w:val="0"/>
          <w:numId w:val="0"/>
        </w:numPr>
        <w:rPr>
          <w:rFonts w:hint="eastAsia" w:ascii="仿宋" w:hAnsi="仿宋" w:eastAsia="仿宋"/>
          <w:lang w:val="en-US" w:eastAsia="zh-CN"/>
        </w:rPr>
      </w:pPr>
    </w:p>
    <w:p>
      <w:pPr>
        <w:pStyle w:val="8"/>
        <w:numPr>
          <w:ilvl w:val="0"/>
          <w:numId w:val="3"/>
        </w:numPr>
        <w:rPr>
          <w:rFonts w:hint="eastAsia" w:ascii="仿宋" w:hAnsi="仿宋" w:eastAsia="仿宋"/>
          <w:lang w:val="en-US" w:eastAsia="zh-CN"/>
        </w:rPr>
      </w:pPr>
      <w:r>
        <w:rPr>
          <w:rFonts w:hint="eastAsia" w:ascii="仿宋" w:hAnsi="仿宋" w:eastAsia="仿宋"/>
          <w:lang w:val="en-US" w:eastAsia="zh-CN"/>
        </w:rPr>
        <w:t>《爱的教育》（4学时）</w:t>
      </w:r>
    </w:p>
    <w:p>
      <w:pPr>
        <w:pStyle w:val="8"/>
        <w:numPr>
          <w:ilvl w:val="0"/>
          <w:numId w:val="0"/>
        </w:numPr>
        <w:ind w:firstLine="420"/>
        <w:rPr>
          <w:rFonts w:hint="eastAsia" w:ascii="仿宋" w:hAnsi="仿宋" w:eastAsia="仿宋"/>
          <w:lang w:val="en-US" w:eastAsia="zh-CN"/>
        </w:rPr>
      </w:pPr>
      <w:r>
        <w:rPr>
          <w:rFonts w:hint="eastAsia" w:ascii="仿宋" w:hAnsi="仿宋" w:eastAsia="仿宋"/>
          <w:lang w:val="en-US" w:eastAsia="zh-CN"/>
        </w:rPr>
        <w:t>内容：《爱的教育》是意大利作家亚米契斯的作品，被各国公认为最富有爱心和教育性的读物。全书采用日记体的形式，讲述了一个叫安利柯的四年级小男孩的成长故事，因此书名又叫《一个意大利四年级小学生的日记》。</w:t>
      </w:r>
    </w:p>
    <w:p>
      <w:pPr>
        <w:pStyle w:val="8"/>
        <w:numPr>
          <w:ilvl w:val="0"/>
          <w:numId w:val="0"/>
        </w:numPr>
        <w:ind w:firstLine="420"/>
        <w:rPr>
          <w:rFonts w:hint="eastAsia" w:ascii="仿宋" w:hAnsi="仿宋" w:eastAsia="仿宋"/>
          <w:lang w:val="en-US" w:eastAsia="zh-CN"/>
        </w:rPr>
      </w:pPr>
      <w:r>
        <w:rPr>
          <w:rFonts w:hint="eastAsia" w:ascii="仿宋" w:hAnsi="仿宋" w:eastAsia="仿宋"/>
          <w:lang w:val="en-US" w:eastAsia="zh-CN"/>
        </w:rPr>
        <w:t>重点：恩利科的父母以其言行向我们传递了怎样的教育观点和方法；书中所描述的亲子之爱、师生之情、朋友之谊、家国之恋对我们有何启示。</w:t>
      </w:r>
    </w:p>
    <w:p>
      <w:pPr>
        <w:pStyle w:val="8"/>
        <w:numPr>
          <w:ilvl w:val="0"/>
          <w:numId w:val="0"/>
        </w:numPr>
        <w:rPr>
          <w:rFonts w:hint="eastAsia" w:ascii="仿宋" w:hAnsi="仿宋" w:eastAsia="仿宋"/>
          <w:lang w:val="en-US" w:eastAsia="zh-CN"/>
        </w:rPr>
      </w:pPr>
    </w:p>
    <w:p>
      <w:pPr>
        <w:pStyle w:val="8"/>
        <w:numPr>
          <w:ilvl w:val="0"/>
          <w:numId w:val="0"/>
        </w:numPr>
        <w:rPr>
          <w:rFonts w:hint="eastAsia" w:ascii="仿宋" w:hAnsi="仿宋" w:eastAsia="仿宋"/>
          <w:lang w:val="en-US" w:eastAsia="zh-CN"/>
        </w:rPr>
      </w:pPr>
      <w:r>
        <w:rPr>
          <w:rFonts w:hint="eastAsia" w:ascii="仿宋" w:hAnsi="仿宋" w:eastAsia="仿宋"/>
          <w:lang w:val="en-US" w:eastAsia="zh-CN"/>
        </w:rPr>
        <w:t xml:space="preserve">    5.  《爱弥尔》（8学时）</w:t>
      </w:r>
    </w:p>
    <w:p>
      <w:pPr>
        <w:pStyle w:val="8"/>
        <w:numPr>
          <w:ilvl w:val="0"/>
          <w:numId w:val="0"/>
        </w:numPr>
        <w:ind w:firstLine="420"/>
        <w:rPr>
          <w:rFonts w:hint="eastAsia" w:ascii="仿宋" w:hAnsi="仿宋" w:eastAsia="仿宋"/>
          <w:lang w:val="en-US" w:eastAsia="zh-CN"/>
        </w:rPr>
      </w:pPr>
      <w:r>
        <w:rPr>
          <w:rFonts w:hint="eastAsia" w:ascii="仿宋" w:hAnsi="仿宋" w:eastAsia="仿宋"/>
          <w:lang w:val="en-US" w:eastAsia="zh-CN"/>
        </w:rPr>
        <w:t>内容：该书卢梭自认为是“我的所有作品中最好、最重要的一部”，卢梭自称：“《爱弥儿》一书构思20年，执笔3年。”卢梭把自己描写成一个理想的教师，又把爱弥儿描写为理想的学生，描写了一个人从出生到结婚，到进入社会受教育的全过程。这是西方第一个完整的教育哲学、第一部教育小说。</w:t>
      </w:r>
    </w:p>
    <w:p>
      <w:pPr>
        <w:pStyle w:val="8"/>
        <w:numPr>
          <w:ilvl w:val="0"/>
          <w:numId w:val="0"/>
        </w:numPr>
        <w:ind w:firstLine="420"/>
        <w:rPr>
          <w:rFonts w:hint="eastAsia" w:ascii="仿宋" w:hAnsi="仿宋" w:eastAsia="仿宋"/>
          <w:lang w:val="en-US" w:eastAsia="zh-CN"/>
        </w:rPr>
      </w:pPr>
      <w:r>
        <w:rPr>
          <w:rFonts w:hint="eastAsia" w:ascii="仿宋" w:hAnsi="仿宋" w:eastAsia="仿宋"/>
          <w:lang w:val="en-US" w:eastAsia="zh-CN"/>
        </w:rPr>
        <w:t>重点：卢梭在体育教育、感官教育、智育教育、道德教育、爱情教育方面提出了哪些主张；其思想有何时代和阶级的局限性；卢梭的女子教育思想及其对现当代女子教育的启示。</w:t>
      </w:r>
    </w:p>
    <w:p>
      <w:pPr>
        <w:pStyle w:val="8"/>
        <w:numPr>
          <w:ilvl w:val="0"/>
          <w:numId w:val="0"/>
        </w:numPr>
        <w:ind w:firstLine="420"/>
        <w:rPr>
          <w:rFonts w:hint="eastAsia" w:ascii="仿宋" w:hAnsi="仿宋" w:eastAsia="仿宋"/>
          <w:lang w:val="en-US" w:eastAsia="zh-CN"/>
        </w:rPr>
      </w:pPr>
    </w:p>
    <w:p>
      <w:pPr>
        <w:pStyle w:val="8"/>
        <w:numPr>
          <w:ilvl w:val="0"/>
          <w:numId w:val="0"/>
        </w:numPr>
        <w:rPr>
          <w:rFonts w:hint="eastAsia" w:ascii="仿宋" w:hAnsi="仿宋" w:eastAsia="仿宋"/>
          <w:b/>
          <w:bCs/>
          <w:lang w:val="en-US" w:eastAsia="zh-CN"/>
        </w:rPr>
      </w:pPr>
      <w:r>
        <w:rPr>
          <w:rFonts w:hint="eastAsia" w:ascii="仿宋" w:hAnsi="仿宋" w:eastAsia="仿宋"/>
          <w:b/>
          <w:bCs/>
          <w:lang w:val="en-US" w:eastAsia="zh-CN"/>
        </w:rPr>
        <w:t>第三编  自由分享活动（4学时）</w:t>
      </w:r>
    </w:p>
    <w:p>
      <w:pPr>
        <w:pStyle w:val="8"/>
        <w:numPr>
          <w:ilvl w:val="0"/>
          <w:numId w:val="0"/>
        </w:numPr>
        <w:ind w:firstLine="420"/>
        <w:rPr>
          <w:rFonts w:ascii="仿宋" w:hAnsi="仿宋" w:eastAsia="仿宋"/>
        </w:rPr>
      </w:pPr>
      <w:r>
        <w:rPr>
          <w:rFonts w:hint="eastAsia" w:ascii="仿宋" w:hAnsi="仿宋" w:eastAsia="仿宋"/>
          <w:lang w:val="en-US" w:eastAsia="zh-CN"/>
        </w:rPr>
        <w:t>请每一位学生选择一本自己读过的其他（非本课程中要求的）教育名著或名篇，与全班同学分享，时长5分钟。要求言简意赅，条理清楚，有自己的见解。</w:t>
      </w:r>
    </w:p>
    <w:p>
      <w:pPr>
        <w:pStyle w:val="8"/>
        <w:numPr>
          <w:ilvl w:val="0"/>
          <w:numId w:val="0"/>
        </w:numPr>
        <w:ind w:left="420" w:leftChars="0"/>
        <w:rPr>
          <w:rFonts w:ascii="仿宋" w:hAnsi="仿宋" w:eastAsia="仿宋"/>
        </w:rPr>
      </w:pPr>
    </w:p>
    <w:p>
      <w:pPr>
        <w:pStyle w:val="8"/>
        <w:numPr>
          <w:ilvl w:val="0"/>
          <w:numId w:val="1"/>
        </w:numPr>
        <w:spacing w:beforeLines="50" w:afterLines="50"/>
        <w:ind w:firstLineChars="0"/>
        <w:rPr>
          <w:rFonts w:ascii="黑体" w:hAnsi="黑体" w:eastAsia="黑体"/>
        </w:rPr>
      </w:pPr>
      <w:r>
        <w:rPr>
          <w:rFonts w:hint="eastAsia" w:ascii="黑体" w:hAnsi="黑体" w:eastAsia="黑体"/>
        </w:rPr>
        <w:t>推荐教材及教学参考书</w:t>
      </w:r>
    </w:p>
    <w:p>
      <w:pPr>
        <w:pStyle w:val="8"/>
        <w:numPr>
          <w:ilvl w:val="0"/>
          <w:numId w:val="4"/>
        </w:numPr>
        <w:ind w:firstLineChars="0"/>
        <w:rPr>
          <w:rFonts w:ascii="仿宋" w:hAnsi="仿宋" w:eastAsia="仿宋"/>
        </w:rPr>
      </w:pPr>
      <w:r>
        <w:rPr>
          <w:rFonts w:hint="eastAsia" w:ascii="仿宋" w:hAnsi="仿宋" w:eastAsia="仿宋"/>
          <w:lang w:val="en-US" w:eastAsia="zh-CN"/>
        </w:rPr>
        <w:t>穆卓编著</w:t>
      </w:r>
      <w:r>
        <w:rPr>
          <w:rFonts w:hint="eastAsia" w:ascii="仿宋" w:hAnsi="仿宋" w:eastAsia="仿宋"/>
        </w:rPr>
        <w:t>，《宝贝，你们好吗：梁启超给孩子们的400余封家书》，</w:t>
      </w:r>
      <w:r>
        <w:rPr>
          <w:rFonts w:hint="eastAsia" w:ascii="仿宋" w:hAnsi="仿宋" w:eastAsia="仿宋"/>
          <w:lang w:val="en-US" w:eastAsia="zh-CN"/>
        </w:rPr>
        <w:t>山西人民</w:t>
      </w:r>
      <w:r>
        <w:rPr>
          <w:rFonts w:hint="eastAsia" w:ascii="仿宋" w:hAnsi="仿宋" w:eastAsia="仿宋"/>
        </w:rPr>
        <w:t>出版社，</w:t>
      </w:r>
      <w:r>
        <w:rPr>
          <w:rFonts w:hint="eastAsia" w:ascii="仿宋" w:hAnsi="仿宋" w:eastAsia="仿宋"/>
          <w:lang w:val="en-US" w:eastAsia="zh-CN"/>
        </w:rPr>
        <w:t>2012年</w:t>
      </w:r>
      <w:r>
        <w:rPr>
          <w:rFonts w:hint="eastAsia" w:ascii="仿宋" w:hAnsi="仿宋" w:eastAsia="仿宋"/>
        </w:rPr>
        <w:t>。</w:t>
      </w:r>
    </w:p>
    <w:p>
      <w:pPr>
        <w:pStyle w:val="8"/>
        <w:numPr>
          <w:ilvl w:val="0"/>
          <w:numId w:val="4"/>
        </w:numPr>
        <w:ind w:firstLineChars="0"/>
        <w:rPr>
          <w:rFonts w:ascii="仿宋" w:hAnsi="仿宋" w:eastAsia="仿宋"/>
        </w:rPr>
      </w:pPr>
      <w:r>
        <w:rPr>
          <w:rFonts w:hint="eastAsia" w:ascii="仿宋" w:hAnsi="仿宋" w:eastAsia="仿宋"/>
        </w:rPr>
        <w:t>傅雷</w:t>
      </w:r>
      <w:r>
        <w:rPr>
          <w:rFonts w:hint="eastAsia" w:ascii="仿宋" w:hAnsi="仿宋" w:eastAsia="仿宋"/>
          <w:lang w:eastAsia="zh-CN"/>
        </w:rPr>
        <w:t>、</w:t>
      </w:r>
      <w:r>
        <w:rPr>
          <w:rFonts w:hint="eastAsia" w:ascii="仿宋" w:hAnsi="仿宋" w:eastAsia="仿宋"/>
        </w:rPr>
        <w:t>朱梅馥著</w:t>
      </w:r>
      <w:r>
        <w:rPr>
          <w:rFonts w:hint="eastAsia" w:ascii="仿宋" w:hAnsi="仿宋" w:eastAsia="仿宋"/>
          <w:lang w:eastAsia="zh-CN"/>
        </w:rPr>
        <w:t>，</w:t>
      </w:r>
      <w:r>
        <w:rPr>
          <w:rFonts w:hint="eastAsia" w:ascii="仿宋" w:hAnsi="仿宋" w:eastAsia="仿宋"/>
        </w:rPr>
        <w:t>傅敏编，《</w:t>
      </w:r>
      <w:r>
        <w:rPr>
          <w:rFonts w:hint="eastAsia" w:ascii="仿宋" w:hAnsi="仿宋" w:eastAsia="仿宋"/>
          <w:lang w:val="en-US" w:eastAsia="zh-CN"/>
        </w:rPr>
        <w:t>傅雷家书</w:t>
      </w:r>
      <w:r>
        <w:rPr>
          <w:rFonts w:hint="eastAsia" w:ascii="仿宋" w:hAnsi="仿宋" w:eastAsia="仿宋"/>
        </w:rPr>
        <w:t>》，</w:t>
      </w:r>
      <w:r>
        <w:rPr>
          <w:rFonts w:hint="eastAsia" w:ascii="仿宋" w:hAnsi="仿宋" w:eastAsia="仿宋"/>
          <w:lang w:val="en-US" w:eastAsia="zh-CN"/>
        </w:rPr>
        <w:t>天津社会科学院</w:t>
      </w:r>
      <w:r>
        <w:rPr>
          <w:rFonts w:hint="eastAsia" w:ascii="仿宋" w:hAnsi="仿宋" w:eastAsia="仿宋"/>
        </w:rPr>
        <w:t>出版社，20</w:t>
      </w:r>
      <w:r>
        <w:rPr>
          <w:rFonts w:hint="eastAsia" w:ascii="仿宋" w:hAnsi="仿宋" w:eastAsia="仿宋"/>
          <w:lang w:val="en-US" w:eastAsia="zh-CN"/>
        </w:rPr>
        <w:t>14</w:t>
      </w:r>
      <w:r>
        <w:rPr>
          <w:rFonts w:hint="eastAsia" w:ascii="仿宋" w:hAnsi="仿宋" w:eastAsia="仿宋"/>
        </w:rPr>
        <w:t>年</w:t>
      </w:r>
      <w:r>
        <w:rPr>
          <w:rFonts w:hint="eastAsia" w:ascii="仿宋" w:hAnsi="仿宋" w:eastAsia="仿宋"/>
          <w:lang w:val="en-US" w:eastAsia="zh-CN"/>
        </w:rPr>
        <w:t>出版</w:t>
      </w:r>
      <w:r>
        <w:rPr>
          <w:rFonts w:hint="eastAsia" w:ascii="仿宋" w:hAnsi="仿宋" w:eastAsia="仿宋"/>
        </w:rPr>
        <w:t>。</w:t>
      </w:r>
    </w:p>
    <w:p>
      <w:pPr>
        <w:pStyle w:val="8"/>
        <w:numPr>
          <w:ilvl w:val="0"/>
          <w:numId w:val="4"/>
        </w:numPr>
        <w:ind w:firstLineChars="0"/>
        <w:rPr>
          <w:rFonts w:ascii="仿宋" w:hAnsi="仿宋" w:eastAsia="仿宋"/>
        </w:rPr>
      </w:pPr>
      <w:r>
        <w:rPr>
          <w:rFonts w:hint="eastAsia" w:ascii="仿宋" w:hAnsi="仿宋" w:eastAsia="仿宋"/>
          <w:lang w:val="en-US" w:eastAsia="zh-CN"/>
        </w:rPr>
        <w:t>（英国）洛克，</w:t>
      </w:r>
      <w:r>
        <w:rPr>
          <w:rFonts w:hint="eastAsia" w:ascii="仿宋" w:hAnsi="仿宋" w:eastAsia="仿宋"/>
          <w:lang w:eastAsia="zh-CN"/>
        </w:rPr>
        <w:t>《教育漫话》，</w:t>
      </w:r>
      <w:r>
        <w:rPr>
          <w:rFonts w:hint="eastAsia" w:ascii="仿宋" w:hAnsi="仿宋" w:eastAsia="仿宋"/>
          <w:lang w:val="en-US" w:eastAsia="zh-CN"/>
        </w:rPr>
        <w:t>教育科学出版社，2011年出版。</w:t>
      </w:r>
    </w:p>
    <w:p>
      <w:pPr>
        <w:pStyle w:val="8"/>
        <w:numPr>
          <w:ilvl w:val="0"/>
          <w:numId w:val="4"/>
        </w:numPr>
        <w:ind w:firstLineChars="0"/>
        <w:rPr>
          <w:rFonts w:ascii="仿宋" w:hAnsi="仿宋" w:eastAsia="仿宋"/>
        </w:rPr>
      </w:pPr>
      <w:r>
        <w:rPr>
          <w:rFonts w:hint="eastAsia" w:ascii="仿宋" w:hAnsi="仿宋" w:eastAsia="仿宋"/>
          <w:lang w:val="en-US" w:eastAsia="zh-CN"/>
        </w:rPr>
        <w:t>（日本）黑柳彻子著、赵玉皎译，</w:t>
      </w:r>
      <w:r>
        <w:rPr>
          <w:rFonts w:hint="eastAsia" w:ascii="仿宋" w:hAnsi="仿宋" w:eastAsia="仿宋"/>
          <w:lang w:eastAsia="zh-CN"/>
        </w:rPr>
        <w:t>《窗边的小豆豆》，</w:t>
      </w:r>
      <w:r>
        <w:rPr>
          <w:rFonts w:hint="eastAsia" w:ascii="仿宋" w:hAnsi="仿宋" w:eastAsia="仿宋"/>
          <w:lang w:val="en-US" w:eastAsia="zh-CN"/>
        </w:rPr>
        <w:t>南海出版社，2011年出版。</w:t>
      </w:r>
    </w:p>
    <w:p>
      <w:pPr>
        <w:pStyle w:val="8"/>
        <w:numPr>
          <w:ilvl w:val="0"/>
          <w:numId w:val="4"/>
        </w:numPr>
        <w:ind w:firstLineChars="0"/>
        <w:rPr>
          <w:rFonts w:ascii="仿宋" w:hAnsi="仿宋" w:eastAsia="仿宋"/>
        </w:rPr>
      </w:pPr>
      <w:r>
        <w:rPr>
          <w:rFonts w:hint="eastAsia" w:ascii="仿宋" w:hAnsi="仿宋" w:eastAsia="仿宋"/>
          <w:lang w:val="en-US" w:eastAsia="zh-CN"/>
        </w:rPr>
        <w:t>（苏联）苏霍姆林斯基，</w:t>
      </w:r>
      <w:r>
        <w:rPr>
          <w:rFonts w:hint="eastAsia" w:ascii="仿宋" w:hAnsi="仿宋" w:eastAsia="仿宋"/>
          <w:lang w:eastAsia="zh-CN"/>
        </w:rPr>
        <w:t>《给教师的一百条建议》，</w:t>
      </w:r>
      <w:r>
        <w:rPr>
          <w:rFonts w:hint="eastAsia" w:ascii="仿宋" w:hAnsi="仿宋" w:eastAsia="仿宋"/>
          <w:lang w:val="en-US" w:eastAsia="zh-CN"/>
        </w:rPr>
        <w:t>天津人民出版社，1981年出版。</w:t>
      </w:r>
    </w:p>
    <w:p>
      <w:pPr>
        <w:pStyle w:val="8"/>
        <w:numPr>
          <w:ilvl w:val="0"/>
          <w:numId w:val="4"/>
        </w:numPr>
        <w:ind w:firstLineChars="0"/>
        <w:rPr>
          <w:rFonts w:ascii="仿宋" w:hAnsi="仿宋" w:eastAsia="仿宋"/>
        </w:rPr>
      </w:pPr>
      <w:r>
        <w:rPr>
          <w:rFonts w:hint="eastAsia" w:ascii="仿宋" w:hAnsi="仿宋" w:eastAsia="仿宋"/>
          <w:lang w:val="en-US" w:eastAsia="zh-CN"/>
        </w:rPr>
        <w:t>（意大利）亚米契斯著、夏丏尊译，《爱的教育》，新世界出版社，2014年出版。</w:t>
      </w:r>
    </w:p>
    <w:p>
      <w:pPr>
        <w:pStyle w:val="8"/>
        <w:numPr>
          <w:ilvl w:val="0"/>
          <w:numId w:val="4"/>
        </w:numPr>
        <w:ind w:firstLineChars="0"/>
        <w:rPr>
          <w:rFonts w:ascii="仿宋" w:hAnsi="仿宋" w:eastAsia="仿宋"/>
        </w:rPr>
      </w:pPr>
      <w:r>
        <w:rPr>
          <w:rFonts w:hint="eastAsia" w:ascii="仿宋" w:hAnsi="仿宋" w:eastAsia="仿宋"/>
          <w:lang w:val="en-US" w:eastAsia="zh-CN"/>
        </w:rPr>
        <w:t>（法国）卢梭，</w:t>
      </w:r>
      <w:r>
        <w:rPr>
          <w:rFonts w:hint="eastAsia" w:ascii="仿宋" w:hAnsi="仿宋" w:eastAsia="仿宋"/>
          <w:lang w:eastAsia="zh-CN"/>
        </w:rPr>
        <w:t>《</w:t>
      </w:r>
      <w:r>
        <w:rPr>
          <w:rFonts w:hint="eastAsia" w:ascii="仿宋" w:hAnsi="仿宋" w:eastAsia="仿宋"/>
          <w:lang w:val="en-US" w:eastAsia="zh-CN"/>
        </w:rPr>
        <w:t>爱弥儿》（上下两卷），人民教育出版社，2001年出版。</w:t>
      </w:r>
    </w:p>
    <w:p>
      <w:pPr>
        <w:pStyle w:val="8"/>
        <w:numPr>
          <w:ilvl w:val="0"/>
          <w:numId w:val="1"/>
        </w:numPr>
        <w:spacing w:beforeLines="50" w:afterLines="50"/>
        <w:ind w:firstLineChars="0"/>
        <w:rPr>
          <w:rFonts w:ascii="黑体" w:hAnsi="黑体" w:eastAsia="黑体"/>
        </w:rPr>
      </w:pPr>
      <w:r>
        <w:rPr>
          <w:rFonts w:hint="eastAsia" w:ascii="黑体" w:hAnsi="黑体" w:eastAsia="黑体"/>
        </w:rPr>
        <w:t>授课形式</w:t>
      </w:r>
    </w:p>
    <w:p>
      <w:pPr>
        <w:ind w:firstLine="420" w:firstLineChars="200"/>
        <w:rPr>
          <w:rFonts w:ascii="仿宋" w:hAnsi="仿宋" w:eastAsia="仿宋"/>
        </w:rPr>
      </w:pPr>
      <w:r>
        <w:rPr>
          <w:rFonts w:hint="eastAsia" w:ascii="仿宋" w:hAnsi="仿宋" w:eastAsia="仿宋"/>
        </w:rPr>
        <w:t>课堂讲授、小组</w:t>
      </w:r>
      <w:r>
        <w:rPr>
          <w:rFonts w:hint="eastAsia" w:ascii="仿宋" w:hAnsi="仿宋" w:eastAsia="仿宋"/>
          <w:lang w:val="en-US" w:eastAsia="zh-CN"/>
        </w:rPr>
        <w:t>讨论和</w:t>
      </w:r>
      <w:r>
        <w:rPr>
          <w:rFonts w:hint="eastAsia" w:ascii="仿宋" w:hAnsi="仿宋" w:eastAsia="仿宋"/>
        </w:rPr>
        <w:t>汇报</w:t>
      </w:r>
    </w:p>
    <w:p>
      <w:pPr>
        <w:pStyle w:val="8"/>
        <w:numPr>
          <w:ilvl w:val="0"/>
          <w:numId w:val="1"/>
        </w:numPr>
        <w:spacing w:beforeLines="50" w:afterLines="50"/>
        <w:ind w:firstLineChars="0"/>
        <w:rPr>
          <w:rFonts w:ascii="黑体" w:hAnsi="黑体" w:eastAsia="黑体"/>
        </w:rPr>
      </w:pPr>
      <w:r>
        <w:rPr>
          <w:rFonts w:hint="eastAsia" w:ascii="黑体" w:hAnsi="黑体" w:eastAsia="黑体"/>
        </w:rPr>
        <w:t>考核方式及分数构成</w:t>
      </w:r>
    </w:p>
    <w:p>
      <w:pPr>
        <w:ind w:firstLine="420" w:firstLineChars="200"/>
        <w:rPr>
          <w:rFonts w:ascii="仿宋" w:hAnsi="仿宋" w:eastAsia="仿宋"/>
        </w:rPr>
      </w:pPr>
      <w:r>
        <w:rPr>
          <w:rFonts w:hint="eastAsia" w:ascii="仿宋" w:hAnsi="仿宋" w:eastAsia="仿宋"/>
        </w:rPr>
        <w:t>平时成绩：</w:t>
      </w:r>
      <w:r>
        <w:rPr>
          <w:rFonts w:hint="eastAsia" w:ascii="仿宋" w:hAnsi="仿宋" w:eastAsia="仿宋"/>
          <w:lang w:val="en-US" w:eastAsia="zh-CN"/>
        </w:rPr>
        <w:t>6</w:t>
      </w:r>
      <w:r>
        <w:rPr>
          <w:rFonts w:hint="eastAsia" w:ascii="仿宋" w:hAnsi="仿宋" w:eastAsia="仿宋"/>
        </w:rPr>
        <w:t>0%</w:t>
      </w:r>
      <w:r>
        <w:rPr>
          <w:rFonts w:hint="eastAsia" w:ascii="仿宋" w:hAnsi="仿宋" w:eastAsia="仿宋"/>
          <w:lang w:val="en-US" w:eastAsia="zh-CN"/>
        </w:rPr>
        <w:t xml:space="preserve"> （出勤、课堂参与情况）</w:t>
      </w:r>
    </w:p>
    <w:p>
      <w:pPr>
        <w:ind w:firstLine="420" w:firstLineChars="200"/>
        <w:rPr>
          <w:rFonts w:ascii="仿宋" w:hAnsi="仿宋" w:eastAsia="仿宋"/>
        </w:rPr>
      </w:pPr>
      <w:r>
        <w:rPr>
          <w:rFonts w:hint="eastAsia" w:ascii="仿宋" w:hAnsi="仿宋" w:eastAsia="仿宋"/>
        </w:rPr>
        <w:t>期末考试：40%（作业）</w:t>
      </w:r>
    </w:p>
    <w:p>
      <w:pPr>
        <w:pStyle w:val="8"/>
        <w:numPr>
          <w:ilvl w:val="0"/>
          <w:numId w:val="1"/>
        </w:numPr>
        <w:spacing w:beforeLines="50" w:afterLines="50"/>
        <w:ind w:firstLineChars="0"/>
        <w:rPr>
          <w:rFonts w:ascii="黑体" w:hAnsi="黑体" w:eastAsia="黑体"/>
        </w:rPr>
      </w:pPr>
      <w:r>
        <w:rPr>
          <w:rFonts w:hint="eastAsia" w:ascii="黑体" w:hAnsi="黑体" w:eastAsia="黑体"/>
        </w:rPr>
        <w:t>教师建议</w:t>
      </w:r>
    </w:p>
    <w:p>
      <w:pPr>
        <w:ind w:firstLine="420" w:firstLineChars="200"/>
        <w:rPr>
          <w:rFonts w:ascii="仿宋" w:hAnsi="仿宋" w:eastAsia="仿宋"/>
        </w:rPr>
      </w:pPr>
      <w:r>
        <w:rPr>
          <w:rFonts w:hint="eastAsia" w:ascii="仿宋" w:hAnsi="仿宋" w:eastAsia="仿宋"/>
        </w:rPr>
        <w:t>每一本书，都要求学生</w:t>
      </w:r>
      <w:r>
        <w:rPr>
          <w:rFonts w:hint="eastAsia" w:ascii="仿宋" w:hAnsi="仿宋" w:eastAsia="仿宋"/>
          <w:lang w:val="en-US" w:eastAsia="zh-CN"/>
        </w:rPr>
        <w:t>事先进行</w:t>
      </w:r>
      <w:r>
        <w:rPr>
          <w:rFonts w:hint="eastAsia" w:ascii="仿宋" w:hAnsi="仿宋" w:eastAsia="仿宋"/>
        </w:rPr>
        <w:t>深度阅读，并与自己的教育履历和当下的教育实践紧密结合，对经典原著进行个性化的解读</w:t>
      </w:r>
      <w:r>
        <w:rPr>
          <w:rFonts w:hint="eastAsia" w:ascii="仿宋" w:hAnsi="仿宋" w:eastAsia="仿宋"/>
          <w:lang w:eastAsia="zh-CN"/>
        </w:rPr>
        <w:t>，</w:t>
      </w:r>
      <w:r>
        <w:rPr>
          <w:rFonts w:hint="eastAsia" w:ascii="仿宋" w:hAnsi="仿宋" w:eastAsia="仿宋"/>
        </w:rPr>
        <w:t>以便能充分参与课堂</w:t>
      </w:r>
      <w:r>
        <w:rPr>
          <w:rFonts w:hint="eastAsia" w:ascii="仿宋" w:hAnsi="仿宋" w:eastAsia="仿宋"/>
          <w:lang w:val="en-US" w:eastAsia="zh-CN"/>
        </w:rPr>
        <w:t>讨论。</w:t>
      </w:r>
    </w:p>
    <w:p>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方正舒体">
    <w:panose1 w:val="02010601030101010101"/>
    <w:charset w:val="86"/>
    <w:family w:val="auto"/>
    <w:pitch w:val="default"/>
    <w:sig w:usb0="00000003" w:usb1="080E0000" w:usb2="00000000" w:usb3="00000000" w:csb0="00040000" w:csb1="00000000"/>
  </w:font>
  <w:font w:name="隶书">
    <w:panose1 w:val="02010509060101010101"/>
    <w:charset w:val="86"/>
    <w:family w:val="auto"/>
    <w:pitch w:val="default"/>
    <w:sig w:usb0="00000001" w:usb1="080E0000" w:usb2="00000000" w:usb3="00000000" w:csb0="00040000" w:csb1="00000000"/>
  </w:font>
  <w:font w:name="MS Mincho">
    <w:panose1 w:val="020206090402050803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31748731"/>
    </w:sdtPr>
    <w:sdtContent>
      <w:sdt>
        <w:sdtPr>
          <w:id w:val="171357217"/>
        </w:sdtPr>
        <w:sdtContent>
          <w:p>
            <w:pPr>
              <w:pStyle w:val="3"/>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w:t>
            </w:r>
            <w:r>
              <w:rPr>
                <w:b/>
                <w:sz w:val="24"/>
                <w:szCs w:val="24"/>
              </w:rPr>
              <w:fldChar w:fldCharType="end"/>
            </w:r>
          </w:p>
        </w:sdtContent>
      </w:sdt>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pPr>
    <w:r>
      <w:drawing>
        <wp:inline distT="0" distB="0" distL="0" distR="0">
          <wp:extent cx="2258060" cy="752475"/>
          <wp:effectExtent l="0" t="0" r="0" b="0"/>
          <wp:docPr id="1" name="图片 0"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logo.png"/>
                  <pic:cNvPicPr>
                    <a:picLocks noChangeAspect="1"/>
                  </pic:cNvPicPr>
                </pic:nvPicPr>
                <pic:blipFill>
                  <a:blip r:embed="rId1"/>
                  <a:stretch>
                    <a:fillRect/>
                  </a:stretch>
                </pic:blipFill>
                <pic:spPr>
                  <a:xfrm>
                    <a:off x="0" y="0"/>
                    <a:ext cx="2258573" cy="752858"/>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C41D0C"/>
    <w:multiLevelType w:val="multilevel"/>
    <w:tmpl w:val="54C41D0C"/>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7A000A7"/>
    <w:multiLevelType w:val="singleLevel"/>
    <w:tmpl w:val="57A000A7"/>
    <w:lvl w:ilvl="0" w:tentative="0">
      <w:start w:val="1"/>
      <w:numFmt w:val="decimal"/>
      <w:suff w:val="space"/>
      <w:lvlText w:val="%1."/>
      <w:lvlJc w:val="left"/>
    </w:lvl>
  </w:abstractNum>
  <w:abstractNum w:abstractNumId="2">
    <w:nsid w:val="57A000F7"/>
    <w:multiLevelType w:val="singleLevel"/>
    <w:tmpl w:val="57A000F7"/>
    <w:lvl w:ilvl="0" w:tentative="0">
      <w:start w:val="1"/>
      <w:numFmt w:val="decimal"/>
      <w:suff w:val="space"/>
      <w:lvlText w:val="%1."/>
      <w:lvlJc w:val="left"/>
    </w:lvl>
  </w:abstractNum>
  <w:abstractNum w:abstractNumId="3">
    <w:nsid w:val="5C8B1304"/>
    <w:multiLevelType w:val="multilevel"/>
    <w:tmpl w:val="5C8B1304"/>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1A53"/>
    <w:rsid w:val="0000042F"/>
    <w:rsid w:val="00002821"/>
    <w:rsid w:val="00033623"/>
    <w:rsid w:val="00036743"/>
    <w:rsid w:val="00042F11"/>
    <w:rsid w:val="00044015"/>
    <w:rsid w:val="00051125"/>
    <w:rsid w:val="00051925"/>
    <w:rsid w:val="00054199"/>
    <w:rsid w:val="000771CB"/>
    <w:rsid w:val="00081EFB"/>
    <w:rsid w:val="000C02D2"/>
    <w:rsid w:val="000D4553"/>
    <w:rsid w:val="000E3342"/>
    <w:rsid w:val="000E5812"/>
    <w:rsid w:val="000F7EDA"/>
    <w:rsid w:val="001068B4"/>
    <w:rsid w:val="00116EED"/>
    <w:rsid w:val="0014102E"/>
    <w:rsid w:val="001426EA"/>
    <w:rsid w:val="001446A0"/>
    <w:rsid w:val="0015656D"/>
    <w:rsid w:val="00160FCD"/>
    <w:rsid w:val="00162945"/>
    <w:rsid w:val="00166E09"/>
    <w:rsid w:val="00182AC9"/>
    <w:rsid w:val="001B568D"/>
    <w:rsid w:val="001D7F9E"/>
    <w:rsid w:val="001F19B0"/>
    <w:rsid w:val="001F48F4"/>
    <w:rsid w:val="001F736D"/>
    <w:rsid w:val="00202BCE"/>
    <w:rsid w:val="0020467E"/>
    <w:rsid w:val="0022447E"/>
    <w:rsid w:val="002254A3"/>
    <w:rsid w:val="00247728"/>
    <w:rsid w:val="002B1A98"/>
    <w:rsid w:val="002B4110"/>
    <w:rsid w:val="002F4B40"/>
    <w:rsid w:val="0030714D"/>
    <w:rsid w:val="00312C82"/>
    <w:rsid w:val="00321EE6"/>
    <w:rsid w:val="00332AD5"/>
    <w:rsid w:val="00344750"/>
    <w:rsid w:val="0035482B"/>
    <w:rsid w:val="00360C93"/>
    <w:rsid w:val="0038020D"/>
    <w:rsid w:val="00397D41"/>
    <w:rsid w:val="003C0EE6"/>
    <w:rsid w:val="003C52AE"/>
    <w:rsid w:val="003C6B91"/>
    <w:rsid w:val="003D0C32"/>
    <w:rsid w:val="003D163B"/>
    <w:rsid w:val="003D299D"/>
    <w:rsid w:val="003D7B18"/>
    <w:rsid w:val="003F5348"/>
    <w:rsid w:val="004004F0"/>
    <w:rsid w:val="00407D10"/>
    <w:rsid w:val="00476A62"/>
    <w:rsid w:val="004B790F"/>
    <w:rsid w:val="004B7DB4"/>
    <w:rsid w:val="004D26A9"/>
    <w:rsid w:val="004E2946"/>
    <w:rsid w:val="004E6DFF"/>
    <w:rsid w:val="00532B36"/>
    <w:rsid w:val="005422EE"/>
    <w:rsid w:val="00543504"/>
    <w:rsid w:val="0054719D"/>
    <w:rsid w:val="00556459"/>
    <w:rsid w:val="00567427"/>
    <w:rsid w:val="00594E6C"/>
    <w:rsid w:val="005A0282"/>
    <w:rsid w:val="005C0916"/>
    <w:rsid w:val="005C0964"/>
    <w:rsid w:val="005D247D"/>
    <w:rsid w:val="005D4CAF"/>
    <w:rsid w:val="005E27B1"/>
    <w:rsid w:val="006135D4"/>
    <w:rsid w:val="006173AA"/>
    <w:rsid w:val="00617B9B"/>
    <w:rsid w:val="006300E8"/>
    <w:rsid w:val="00634583"/>
    <w:rsid w:val="00636B25"/>
    <w:rsid w:val="006448FE"/>
    <w:rsid w:val="006476D6"/>
    <w:rsid w:val="006530FF"/>
    <w:rsid w:val="006734C2"/>
    <w:rsid w:val="0067362C"/>
    <w:rsid w:val="006826F7"/>
    <w:rsid w:val="00695811"/>
    <w:rsid w:val="006B1D5B"/>
    <w:rsid w:val="006B1DA4"/>
    <w:rsid w:val="006C5B51"/>
    <w:rsid w:val="006C7AB7"/>
    <w:rsid w:val="006F22A4"/>
    <w:rsid w:val="00724240"/>
    <w:rsid w:val="00742133"/>
    <w:rsid w:val="007474BA"/>
    <w:rsid w:val="00761BB3"/>
    <w:rsid w:val="00763129"/>
    <w:rsid w:val="00764602"/>
    <w:rsid w:val="0076516D"/>
    <w:rsid w:val="007748BB"/>
    <w:rsid w:val="00780BB7"/>
    <w:rsid w:val="007817E4"/>
    <w:rsid w:val="007C2B04"/>
    <w:rsid w:val="007C417F"/>
    <w:rsid w:val="00827D61"/>
    <w:rsid w:val="00853734"/>
    <w:rsid w:val="00854136"/>
    <w:rsid w:val="008767C9"/>
    <w:rsid w:val="008A5CE9"/>
    <w:rsid w:val="008D48EF"/>
    <w:rsid w:val="00905579"/>
    <w:rsid w:val="0091418D"/>
    <w:rsid w:val="00917501"/>
    <w:rsid w:val="00923A51"/>
    <w:rsid w:val="0094175F"/>
    <w:rsid w:val="00941E12"/>
    <w:rsid w:val="0096638A"/>
    <w:rsid w:val="00972F32"/>
    <w:rsid w:val="009F3617"/>
    <w:rsid w:val="009F5741"/>
    <w:rsid w:val="00A01FA8"/>
    <w:rsid w:val="00A05E53"/>
    <w:rsid w:val="00A25058"/>
    <w:rsid w:val="00A26B3B"/>
    <w:rsid w:val="00A54BA2"/>
    <w:rsid w:val="00A61341"/>
    <w:rsid w:val="00A61C39"/>
    <w:rsid w:val="00A63FB1"/>
    <w:rsid w:val="00A71FD2"/>
    <w:rsid w:val="00A80784"/>
    <w:rsid w:val="00A87AED"/>
    <w:rsid w:val="00A87F13"/>
    <w:rsid w:val="00AB0835"/>
    <w:rsid w:val="00AF3F89"/>
    <w:rsid w:val="00B02BA5"/>
    <w:rsid w:val="00B312BB"/>
    <w:rsid w:val="00B3258B"/>
    <w:rsid w:val="00B40F3A"/>
    <w:rsid w:val="00B54E94"/>
    <w:rsid w:val="00B54EC6"/>
    <w:rsid w:val="00B83788"/>
    <w:rsid w:val="00B866C4"/>
    <w:rsid w:val="00BA059C"/>
    <w:rsid w:val="00BB1361"/>
    <w:rsid w:val="00BC178F"/>
    <w:rsid w:val="00BD11FD"/>
    <w:rsid w:val="00BE0DA5"/>
    <w:rsid w:val="00BE2F94"/>
    <w:rsid w:val="00BE408C"/>
    <w:rsid w:val="00C20FCF"/>
    <w:rsid w:val="00C322A8"/>
    <w:rsid w:val="00C761BE"/>
    <w:rsid w:val="00C84E0D"/>
    <w:rsid w:val="00C90605"/>
    <w:rsid w:val="00CA0D58"/>
    <w:rsid w:val="00CA5997"/>
    <w:rsid w:val="00CB1A74"/>
    <w:rsid w:val="00CC73A0"/>
    <w:rsid w:val="00CD288A"/>
    <w:rsid w:val="00CD6806"/>
    <w:rsid w:val="00D11E13"/>
    <w:rsid w:val="00D123DE"/>
    <w:rsid w:val="00D152C6"/>
    <w:rsid w:val="00D31665"/>
    <w:rsid w:val="00D500ED"/>
    <w:rsid w:val="00D53296"/>
    <w:rsid w:val="00D5381E"/>
    <w:rsid w:val="00D64387"/>
    <w:rsid w:val="00D721BF"/>
    <w:rsid w:val="00D81899"/>
    <w:rsid w:val="00D941A0"/>
    <w:rsid w:val="00DA2586"/>
    <w:rsid w:val="00DA6CA4"/>
    <w:rsid w:val="00DC0608"/>
    <w:rsid w:val="00DC11C2"/>
    <w:rsid w:val="00DF258C"/>
    <w:rsid w:val="00DF6DBC"/>
    <w:rsid w:val="00E06035"/>
    <w:rsid w:val="00E11D31"/>
    <w:rsid w:val="00E13F90"/>
    <w:rsid w:val="00E1716C"/>
    <w:rsid w:val="00E344FB"/>
    <w:rsid w:val="00E40A6E"/>
    <w:rsid w:val="00E4768E"/>
    <w:rsid w:val="00E615CC"/>
    <w:rsid w:val="00E71A53"/>
    <w:rsid w:val="00E72EAA"/>
    <w:rsid w:val="00E77D0B"/>
    <w:rsid w:val="00EA3994"/>
    <w:rsid w:val="00EC75F9"/>
    <w:rsid w:val="00ED2BB8"/>
    <w:rsid w:val="00EE05AD"/>
    <w:rsid w:val="00EF3CA5"/>
    <w:rsid w:val="00F01CE2"/>
    <w:rsid w:val="00F047D7"/>
    <w:rsid w:val="00F2013F"/>
    <w:rsid w:val="00F2248C"/>
    <w:rsid w:val="00F37F93"/>
    <w:rsid w:val="00F40621"/>
    <w:rsid w:val="00F407CF"/>
    <w:rsid w:val="00F40A0B"/>
    <w:rsid w:val="00F71C68"/>
    <w:rsid w:val="00F81A4C"/>
    <w:rsid w:val="00F91C2B"/>
    <w:rsid w:val="00FA0AE2"/>
    <w:rsid w:val="00FA54BB"/>
    <w:rsid w:val="00FB0CE3"/>
    <w:rsid w:val="00FC16B5"/>
    <w:rsid w:val="00FE3F69"/>
    <w:rsid w:val="01E3501B"/>
    <w:rsid w:val="01F22016"/>
    <w:rsid w:val="03B86519"/>
    <w:rsid w:val="06BE668E"/>
    <w:rsid w:val="097B4691"/>
    <w:rsid w:val="0C802A02"/>
    <w:rsid w:val="12412907"/>
    <w:rsid w:val="132923DE"/>
    <w:rsid w:val="17500A9B"/>
    <w:rsid w:val="18603F6D"/>
    <w:rsid w:val="188F5EA1"/>
    <w:rsid w:val="199B3456"/>
    <w:rsid w:val="1E1548C6"/>
    <w:rsid w:val="1E7B3E23"/>
    <w:rsid w:val="1ECA2F99"/>
    <w:rsid w:val="20390A65"/>
    <w:rsid w:val="22410461"/>
    <w:rsid w:val="23033E1F"/>
    <w:rsid w:val="24C9239C"/>
    <w:rsid w:val="276B7AF1"/>
    <w:rsid w:val="29590496"/>
    <w:rsid w:val="2FBF0D80"/>
    <w:rsid w:val="33EE0F75"/>
    <w:rsid w:val="36642C56"/>
    <w:rsid w:val="37D32F1B"/>
    <w:rsid w:val="384138E1"/>
    <w:rsid w:val="3BA86209"/>
    <w:rsid w:val="3D3B4D18"/>
    <w:rsid w:val="3D9C3A08"/>
    <w:rsid w:val="3DE1127D"/>
    <w:rsid w:val="43286DA1"/>
    <w:rsid w:val="43881319"/>
    <w:rsid w:val="44B37117"/>
    <w:rsid w:val="44E6335B"/>
    <w:rsid w:val="471149C9"/>
    <w:rsid w:val="47470992"/>
    <w:rsid w:val="496D6C46"/>
    <w:rsid w:val="4A5B01F0"/>
    <w:rsid w:val="4B8C2E25"/>
    <w:rsid w:val="4FBB4D51"/>
    <w:rsid w:val="4FD32F25"/>
    <w:rsid w:val="50636B8F"/>
    <w:rsid w:val="50CE2C5D"/>
    <w:rsid w:val="53D763D9"/>
    <w:rsid w:val="54CC450B"/>
    <w:rsid w:val="5677009E"/>
    <w:rsid w:val="585B74CB"/>
    <w:rsid w:val="59E03E2B"/>
    <w:rsid w:val="5A6A1F4E"/>
    <w:rsid w:val="5A8A1ADB"/>
    <w:rsid w:val="5B757EF6"/>
    <w:rsid w:val="5D4847A7"/>
    <w:rsid w:val="61717685"/>
    <w:rsid w:val="61FD42E7"/>
    <w:rsid w:val="62CB30E0"/>
    <w:rsid w:val="662B3779"/>
    <w:rsid w:val="66D15838"/>
    <w:rsid w:val="6AE624F2"/>
    <w:rsid w:val="6B802062"/>
    <w:rsid w:val="6D3D213B"/>
    <w:rsid w:val="71094C72"/>
    <w:rsid w:val="71B151AE"/>
    <w:rsid w:val="724E3A06"/>
    <w:rsid w:val="738F0EA7"/>
    <w:rsid w:val="76F15840"/>
    <w:rsid w:val="795D4E46"/>
    <w:rsid w:val="7D9E508A"/>
    <w:rsid w:val="7F031A87"/>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8">
    <w:name w:val="List Paragraph"/>
    <w:basedOn w:val="1"/>
    <w:qFormat/>
    <w:uiPriority w:val="34"/>
    <w:pPr>
      <w:ind w:firstLine="420" w:firstLineChars="200"/>
    </w:pPr>
  </w:style>
  <w:style w:type="character" w:customStyle="1" w:styleId="9">
    <w:name w:val="页眉 Char"/>
    <w:basedOn w:val="5"/>
    <w:link w:val="4"/>
    <w:semiHidden/>
    <w:qFormat/>
    <w:uiPriority w:val="99"/>
    <w:rPr>
      <w:sz w:val="18"/>
      <w:szCs w:val="18"/>
    </w:rPr>
  </w:style>
  <w:style w:type="character" w:customStyle="1" w:styleId="10">
    <w:name w:val="页脚 Char"/>
    <w:basedOn w:val="5"/>
    <w:link w:val="3"/>
    <w:qFormat/>
    <w:uiPriority w:val="99"/>
    <w:rPr>
      <w:sz w:val="18"/>
      <w:szCs w:val="18"/>
    </w:rPr>
  </w:style>
  <w:style w:type="character" w:customStyle="1" w:styleId="11">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60D479-8CC7-4A79-B3FA-85E3CAA917FE}">
  <ds:schemaRefs/>
</ds:datastoreItem>
</file>

<file path=docProps/app.xml><?xml version="1.0" encoding="utf-8"?>
<Properties xmlns="http://schemas.openxmlformats.org/officeDocument/2006/extended-properties" xmlns:vt="http://schemas.openxmlformats.org/officeDocument/2006/docPropsVTypes">
  <Template>Normal</Template>
  <Pages>2</Pages>
  <Words>68</Words>
  <Characters>391</Characters>
  <Lines>3</Lines>
  <Paragraphs>1</Paragraphs>
  <ScaleCrop>false</ScaleCrop>
  <LinksUpToDate>false</LinksUpToDate>
  <CharactersWithSpaces>458</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2016-06-21T05:21:00Z</dcterms:created>
  <dc:creator>Administrator</dc:creator>
  <cp:lastModifiedBy>PCX</cp:lastModifiedBy>
  <cp:lastPrinted>2016-06-21T06:43:00Z</cp:lastPrinted>
  <dcterms:modified xsi:type="dcterms:W3CDTF">2016-10-29T02:01:23Z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