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28"/>
        </w:rPr>
      </w:pPr>
      <w:r>
        <w:rPr>
          <w:rFonts w:hint="eastAsia" w:ascii="黑体" w:hAnsi="黑体" w:eastAsia="黑体"/>
          <w:sz w:val="28"/>
        </w:rPr>
        <w:t>《</w:t>
      </w:r>
      <w:r>
        <w:rPr>
          <w:rFonts w:hint="eastAsia" w:ascii="黑体" w:hAnsi="黑体" w:eastAsia="黑体"/>
          <w:sz w:val="28"/>
          <w:lang w:val="en-US" w:eastAsia="zh-CN"/>
        </w:rPr>
        <w:t>公共关系</w:t>
      </w:r>
      <w:r>
        <w:rPr>
          <w:rFonts w:hint="eastAsia" w:ascii="黑体" w:hAnsi="黑体" w:eastAsia="黑体"/>
          <w:sz w:val="28"/>
        </w:rPr>
        <w:t>心理学》课程教学大纲</w:t>
      </w:r>
    </w:p>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976"/>
        <w:gridCol w:w="1276"/>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jc w:val="center"/>
              <w:rPr>
                <w:rFonts w:ascii="楷体" w:hAnsi="楷体" w:eastAsia="楷体"/>
              </w:rPr>
            </w:pPr>
            <w:r>
              <w:rPr>
                <w:rFonts w:hint="eastAsia" w:ascii="楷体" w:hAnsi="楷体" w:eastAsia="楷体"/>
              </w:rPr>
              <w:t>英文名称</w:t>
            </w:r>
          </w:p>
        </w:tc>
        <w:tc>
          <w:tcPr>
            <w:tcW w:w="2976" w:type="dxa"/>
          </w:tcPr>
          <w:p>
            <w:r>
              <w:rPr>
                <w:rFonts w:hint="eastAsia"/>
              </w:rPr>
              <w:t>Psychology of Public Relations</w:t>
            </w:r>
          </w:p>
        </w:tc>
        <w:tc>
          <w:tcPr>
            <w:tcW w:w="1276" w:type="dxa"/>
            <w:vAlign w:val="center"/>
          </w:tcPr>
          <w:p>
            <w:pPr>
              <w:jc w:val="center"/>
              <w:rPr>
                <w:rFonts w:ascii="楷体" w:hAnsi="楷体" w:eastAsia="楷体"/>
              </w:rPr>
            </w:pPr>
            <w:r>
              <w:rPr>
                <w:rFonts w:hint="eastAsia" w:ascii="楷体" w:hAnsi="楷体" w:eastAsia="楷体"/>
              </w:rPr>
              <w:t>课程代码</w:t>
            </w:r>
          </w:p>
        </w:tc>
        <w:tc>
          <w:tcPr>
            <w:tcW w:w="3169" w:type="dxa"/>
          </w:tcPr>
          <w:p>
            <w:r>
              <w:rPr>
                <w:rFonts w:hint="eastAsia"/>
              </w:rPr>
              <w:t>APSY1034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jc w:val="center"/>
              <w:rPr>
                <w:rFonts w:ascii="楷体" w:hAnsi="楷体" w:eastAsia="楷体"/>
              </w:rPr>
            </w:pPr>
            <w:r>
              <w:rPr>
                <w:rFonts w:hint="eastAsia" w:ascii="楷体" w:hAnsi="楷体" w:eastAsia="楷体"/>
              </w:rPr>
              <w:t>课程性质</w:t>
            </w:r>
          </w:p>
        </w:tc>
        <w:tc>
          <w:tcPr>
            <w:tcW w:w="2976" w:type="dxa"/>
          </w:tcPr>
          <w:p>
            <w:r>
              <w:rPr>
                <w:rFonts w:hint="eastAsia"/>
                <w:lang w:eastAsia="zh-CN"/>
              </w:rPr>
              <w:t>专业</w:t>
            </w:r>
            <w:r>
              <w:rPr>
                <w:rFonts w:hint="eastAsia"/>
              </w:rPr>
              <w:t>选修课</w:t>
            </w:r>
          </w:p>
        </w:tc>
        <w:tc>
          <w:tcPr>
            <w:tcW w:w="1276" w:type="dxa"/>
            <w:vAlign w:val="center"/>
          </w:tcPr>
          <w:p>
            <w:pPr>
              <w:jc w:val="center"/>
              <w:rPr>
                <w:rFonts w:ascii="楷体" w:hAnsi="楷体" w:eastAsia="楷体"/>
              </w:rPr>
            </w:pPr>
            <w:r>
              <w:rPr>
                <w:rFonts w:hint="eastAsia" w:ascii="楷体" w:hAnsi="楷体" w:eastAsia="楷体"/>
              </w:rPr>
              <w:t>授课对象</w:t>
            </w:r>
          </w:p>
        </w:tc>
        <w:tc>
          <w:tcPr>
            <w:tcW w:w="3169" w:type="dxa"/>
          </w:tcPr>
          <w:p>
            <w:r>
              <w:rPr>
                <w:rFonts w:hint="eastAsia"/>
              </w:rPr>
              <w:t>应用心理学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jc w:val="center"/>
              <w:rPr>
                <w:rFonts w:ascii="楷体" w:hAnsi="楷体" w:eastAsia="楷体"/>
              </w:rPr>
            </w:pPr>
            <w:r>
              <w:rPr>
                <w:rFonts w:hint="eastAsia" w:ascii="楷体" w:hAnsi="楷体" w:eastAsia="楷体"/>
              </w:rPr>
              <w:t>学   分</w:t>
            </w:r>
          </w:p>
        </w:tc>
        <w:tc>
          <w:tcPr>
            <w:tcW w:w="2976" w:type="dxa"/>
          </w:tcPr>
          <w:p>
            <w:r>
              <w:rPr>
                <w:rFonts w:hint="eastAsia"/>
              </w:rPr>
              <w:t>2.</w:t>
            </w:r>
            <w:r>
              <w:rPr>
                <w:rFonts w:hint="eastAsia"/>
                <w:lang w:val="en-US" w:eastAsia="zh-CN"/>
              </w:rPr>
              <w:t>00</w:t>
            </w:r>
          </w:p>
        </w:tc>
        <w:tc>
          <w:tcPr>
            <w:tcW w:w="1276" w:type="dxa"/>
            <w:vAlign w:val="center"/>
          </w:tcPr>
          <w:p>
            <w:pPr>
              <w:jc w:val="center"/>
              <w:rPr>
                <w:rFonts w:ascii="楷体" w:hAnsi="楷体" w:eastAsia="楷体"/>
              </w:rPr>
            </w:pPr>
            <w:r>
              <w:rPr>
                <w:rFonts w:hint="eastAsia" w:ascii="楷体" w:hAnsi="楷体" w:eastAsia="楷体"/>
              </w:rPr>
              <w:t>学   时</w:t>
            </w:r>
          </w:p>
        </w:tc>
        <w:tc>
          <w:tcPr>
            <w:tcW w:w="3169" w:type="dxa"/>
          </w:tcPr>
          <w:p>
            <w:pPr>
              <w:rPr>
                <w:rFonts w:hint="eastAsia" w:eastAsiaTheme="minorEastAsia"/>
                <w:lang w:val="en-US" w:eastAsia="zh-CN"/>
              </w:rPr>
            </w:pPr>
            <w:r>
              <w:rPr>
                <w:rFonts w:hint="eastAsia"/>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jc w:val="center"/>
              <w:rPr>
                <w:rFonts w:ascii="楷体" w:hAnsi="楷体" w:eastAsia="楷体"/>
              </w:rPr>
            </w:pPr>
            <w:r>
              <w:rPr>
                <w:rFonts w:hint="eastAsia" w:ascii="楷体" w:hAnsi="楷体" w:eastAsia="楷体"/>
              </w:rPr>
              <w:t>主讲教师</w:t>
            </w:r>
          </w:p>
        </w:tc>
        <w:tc>
          <w:tcPr>
            <w:tcW w:w="2976" w:type="dxa"/>
          </w:tcPr>
          <w:p>
            <w:pPr>
              <w:rPr>
                <w:rFonts w:hint="eastAsia" w:eastAsiaTheme="minorEastAsia"/>
                <w:lang w:eastAsia="zh-CN"/>
              </w:rPr>
            </w:pPr>
            <w:r>
              <w:rPr>
                <w:rFonts w:hint="eastAsia"/>
                <w:lang w:eastAsia="zh-CN"/>
              </w:rPr>
              <w:t>彭彩霞</w:t>
            </w:r>
            <w:r>
              <w:rPr>
                <w:rFonts w:hint="eastAsia"/>
                <w:lang w:val="en-US" w:eastAsia="zh-CN"/>
              </w:rPr>
              <w:t xml:space="preserve"> </w:t>
            </w:r>
          </w:p>
        </w:tc>
        <w:tc>
          <w:tcPr>
            <w:tcW w:w="1276" w:type="dxa"/>
            <w:vAlign w:val="center"/>
          </w:tcPr>
          <w:p>
            <w:pPr>
              <w:jc w:val="center"/>
              <w:rPr>
                <w:rFonts w:ascii="楷体" w:hAnsi="楷体" w:eastAsia="楷体"/>
              </w:rPr>
            </w:pPr>
            <w:r>
              <w:rPr>
                <w:rFonts w:hint="eastAsia" w:ascii="楷体" w:hAnsi="楷体" w:eastAsia="楷体"/>
              </w:rPr>
              <w:t>编写日期</w:t>
            </w:r>
          </w:p>
        </w:tc>
        <w:tc>
          <w:tcPr>
            <w:tcW w:w="3169" w:type="dxa"/>
          </w:tcPr>
          <w:p>
            <w:r>
              <w:rPr>
                <w:rFonts w:hint="eastAsia"/>
              </w:rPr>
              <w:t>2016年</w:t>
            </w:r>
            <w:r>
              <w:rPr>
                <w:rFonts w:hint="eastAsia"/>
                <w:lang w:val="en-US" w:eastAsia="zh-CN"/>
              </w:rPr>
              <w:t>8</w:t>
            </w:r>
            <w:r>
              <w:rPr>
                <w:rFonts w:hint="eastAsia"/>
              </w:rPr>
              <w:t xml:space="preserve"> 月</w:t>
            </w:r>
            <w:r>
              <w:rPr>
                <w:rFonts w:hint="eastAsia"/>
                <w:lang w:val="en-US" w:eastAsia="zh-CN"/>
              </w:rPr>
              <w:t>10</w:t>
            </w:r>
            <w:r>
              <w:rPr>
                <w:rFonts w:hint="eastAsia"/>
              </w:rPr>
              <w:t>日</w:t>
            </w:r>
          </w:p>
        </w:tc>
      </w:tr>
    </w:tbl>
    <w:p>
      <w:pPr>
        <w:rPr>
          <w:rFonts w:hint="eastAsia" w:eastAsiaTheme="minorEastAsia"/>
          <w:lang w:eastAsia="zh-CN"/>
        </w:rPr>
      </w:pPr>
    </w:p>
    <w:p>
      <w:pPr>
        <w:pStyle w:val="8"/>
        <w:numPr>
          <w:ilvl w:val="0"/>
          <w:numId w:val="1"/>
        </w:numPr>
        <w:spacing w:beforeLines="50" w:afterLines="50"/>
        <w:ind w:firstLineChars="0"/>
        <w:rPr>
          <w:rFonts w:ascii="黑体" w:hAnsi="黑体" w:eastAsia="黑体"/>
        </w:rPr>
      </w:pPr>
      <w:r>
        <w:rPr>
          <w:rFonts w:hint="eastAsia" w:ascii="黑体" w:hAnsi="黑体" w:eastAsia="黑体"/>
        </w:rPr>
        <w:t>课程简介</w:t>
      </w:r>
    </w:p>
    <w:p>
      <w:pPr>
        <w:rPr>
          <w:rFonts w:hint="eastAsia" w:eastAsiaTheme="minorEastAsia"/>
          <w:lang w:val="en-US" w:eastAsia="zh-CN"/>
        </w:rPr>
      </w:pPr>
      <w:r>
        <w:rPr>
          <w:rFonts w:hint="eastAsia"/>
          <w:lang w:val="en-US" w:eastAsia="zh-CN"/>
        </w:rPr>
        <w:t xml:space="preserve">   《公共关系心理学》课程</w:t>
      </w:r>
      <w:bookmarkStart w:id="0" w:name="_GoBack"/>
      <w:bookmarkEnd w:id="0"/>
      <w:r>
        <w:rPr>
          <w:rFonts w:hint="eastAsia"/>
          <w:lang w:val="en-US" w:eastAsia="zh-CN"/>
        </w:rPr>
        <w:t>介绍</w:t>
      </w:r>
      <w:r>
        <w:rPr>
          <w:rFonts w:hint="eastAsia"/>
        </w:rPr>
        <w:t>公共关系活动中各种心理现象及其规律，</w:t>
      </w:r>
      <w:r>
        <w:rPr>
          <w:rFonts w:hint="eastAsia"/>
          <w:lang w:val="en-US" w:eastAsia="zh-CN"/>
        </w:rPr>
        <w:t>涉及</w:t>
      </w:r>
      <w:r>
        <w:rPr>
          <w:rFonts w:hint="eastAsia"/>
        </w:rPr>
        <w:t>公共关系人员最必需</w:t>
      </w:r>
      <w:r>
        <w:rPr>
          <w:rFonts w:hint="eastAsia"/>
          <w:lang w:val="en-US" w:eastAsia="zh-CN"/>
        </w:rPr>
        <w:t>掌握</w:t>
      </w:r>
      <w:r>
        <w:rPr>
          <w:rFonts w:hint="eastAsia"/>
        </w:rPr>
        <w:t>的基础知识，</w:t>
      </w:r>
      <w:r>
        <w:rPr>
          <w:rFonts w:hint="eastAsia"/>
          <w:lang w:val="en-US" w:eastAsia="zh-CN"/>
        </w:rPr>
        <w:t>并结合案例以</w:t>
      </w:r>
      <w:r>
        <w:rPr>
          <w:rFonts w:hint="eastAsia"/>
        </w:rPr>
        <w:t>提高</w:t>
      </w:r>
      <w:r>
        <w:rPr>
          <w:rFonts w:hint="eastAsia"/>
          <w:lang w:val="en-US" w:eastAsia="zh-CN"/>
        </w:rPr>
        <w:t>学生</w:t>
      </w:r>
      <w:r>
        <w:rPr>
          <w:rFonts w:hint="eastAsia"/>
        </w:rPr>
        <w:t>分析和解决公共关系工作实际问题的能力。</w:t>
      </w:r>
    </w:p>
    <w:p>
      <w:pPr>
        <w:pStyle w:val="8"/>
        <w:numPr>
          <w:ilvl w:val="0"/>
          <w:numId w:val="1"/>
        </w:numPr>
        <w:spacing w:beforeLines="50" w:afterLines="50"/>
        <w:ind w:firstLineChars="0"/>
        <w:rPr>
          <w:rFonts w:ascii="黑体" w:hAnsi="黑体" w:eastAsia="黑体"/>
        </w:rPr>
      </w:pPr>
      <w:r>
        <w:rPr>
          <w:rFonts w:hint="eastAsia" w:ascii="黑体" w:hAnsi="黑体" w:eastAsia="黑体"/>
        </w:rPr>
        <w:t>课程性质与目的</w:t>
      </w:r>
    </w:p>
    <w:p>
      <w:r>
        <w:rPr>
          <w:rFonts w:hint="eastAsia"/>
          <w:lang w:val="en-US" w:eastAsia="zh-CN"/>
        </w:rPr>
        <w:t xml:space="preserve">    该课程是一门专业选修课，旨在</w:t>
      </w:r>
      <w:r>
        <w:rPr>
          <w:rFonts w:hint="eastAsia"/>
        </w:rPr>
        <w:t>通过学习</w:t>
      </w:r>
      <w:r>
        <w:rPr>
          <w:rFonts w:hint="eastAsia"/>
          <w:lang w:eastAsia="zh-CN"/>
        </w:rPr>
        <w:t>，</w:t>
      </w:r>
      <w:r>
        <w:rPr>
          <w:rFonts w:hint="eastAsia"/>
          <w:lang w:val="en-US" w:eastAsia="zh-CN"/>
        </w:rPr>
        <w:t>使学生</w:t>
      </w:r>
      <w:r>
        <w:rPr>
          <w:rFonts w:hint="eastAsia"/>
        </w:rPr>
        <w:t>了解社会组织与其公众对象在公共关系活动过程中特有的心理状态和心理活动规律，</w:t>
      </w:r>
      <w:r>
        <w:rPr>
          <w:rFonts w:hint="eastAsia"/>
          <w:lang w:val="en-US" w:eastAsia="zh-CN"/>
        </w:rPr>
        <w:t>并能</w:t>
      </w:r>
      <w:r>
        <w:rPr>
          <w:rFonts w:hint="eastAsia"/>
        </w:rPr>
        <w:t>将所学理论运用于社会生活实践，为公共关系心理学知识的普及和公共关系人才的培养打下良好的基础。</w:t>
      </w:r>
    </w:p>
    <w:p>
      <w:pPr>
        <w:pStyle w:val="8"/>
        <w:numPr>
          <w:ilvl w:val="0"/>
          <w:numId w:val="1"/>
        </w:numPr>
        <w:spacing w:beforeLines="50" w:afterLines="50"/>
        <w:ind w:firstLineChars="0"/>
        <w:rPr>
          <w:rFonts w:ascii="黑体" w:hAnsi="黑体" w:eastAsia="黑体"/>
        </w:rPr>
      </w:pPr>
      <w:r>
        <w:rPr>
          <w:rFonts w:hint="eastAsia" w:ascii="黑体" w:hAnsi="黑体" w:eastAsia="黑体"/>
        </w:rPr>
        <w:t>教学内容与学时分配</w:t>
      </w:r>
    </w:p>
    <w:p>
      <w:pPr>
        <w:pStyle w:val="8"/>
        <w:numPr>
          <w:ilvl w:val="0"/>
          <w:numId w:val="0"/>
        </w:numPr>
        <w:spacing w:beforeLines="50" w:afterLines="50"/>
        <w:ind w:leftChars="0"/>
        <w:rPr>
          <w:rFonts w:hint="eastAsia" w:ascii="仿宋" w:hAnsi="仿宋" w:eastAsia="仿宋" w:cs="仿宋"/>
          <w:b/>
          <w:bCs/>
          <w:lang w:val="en-US" w:eastAsia="zh-CN"/>
        </w:rPr>
      </w:pPr>
      <w:r>
        <w:rPr>
          <w:rFonts w:hint="eastAsia" w:ascii="仿宋" w:hAnsi="仿宋" w:eastAsia="仿宋" w:cs="仿宋"/>
          <w:b/>
          <w:bCs/>
          <w:lang w:val="en-US" w:eastAsia="zh-CN"/>
        </w:rPr>
        <w:t>绪论（2学时）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b/>
          <w:bCs/>
          <w:lang w:val="en-US" w:eastAsia="zh-CN"/>
        </w:rPr>
        <w:t xml:space="preserve">    </w:t>
      </w:r>
      <w:r>
        <w:rPr>
          <w:rFonts w:hint="eastAsia" w:ascii="仿宋" w:hAnsi="仿宋" w:eastAsia="仿宋" w:cs="仿宋"/>
          <w:lang w:val="en-US" w:eastAsia="zh-CN"/>
        </w:rPr>
        <w:t>内容：公共关系心理学的学科性质、特征与研究内容；公共关系心理学与相邻学科的关系；公共关系心理学在我国的研究简史；公共关系心理学的研究价值、研究原理与方法</w:t>
      </w:r>
    </w:p>
    <w:p>
      <w:pPr>
        <w:pStyle w:val="8"/>
        <w:numPr>
          <w:ilvl w:val="0"/>
          <w:numId w:val="0"/>
        </w:numPr>
        <w:spacing w:beforeLines="50" w:afterLines="50"/>
        <w:ind w:leftChars="0" w:firstLine="420"/>
        <w:rPr>
          <w:rFonts w:hint="eastAsia" w:ascii="仿宋" w:hAnsi="仿宋" w:eastAsia="仿宋" w:cs="仿宋"/>
          <w:lang w:val="en-US" w:eastAsia="zh-CN"/>
        </w:rPr>
      </w:pPr>
      <w:r>
        <w:rPr>
          <w:rFonts w:hint="eastAsia" w:ascii="仿宋" w:hAnsi="仿宋" w:eastAsia="仿宋" w:cs="仿宋"/>
          <w:lang w:val="en-US" w:eastAsia="zh-CN"/>
        </w:rPr>
        <w:t>重点：公共关系学、心理学与公共关系心理学之间的区别与联系</w:t>
      </w:r>
    </w:p>
    <w:p>
      <w:pPr>
        <w:pStyle w:val="8"/>
        <w:numPr>
          <w:ilvl w:val="0"/>
          <w:numId w:val="0"/>
        </w:numPr>
        <w:spacing w:beforeLines="50" w:afterLines="50"/>
        <w:ind w:leftChars="0" w:firstLine="420"/>
        <w:rPr>
          <w:rFonts w:hint="eastAsia" w:ascii="仿宋" w:hAnsi="仿宋" w:eastAsia="仿宋" w:cs="仿宋"/>
          <w:lang w:val="en-US" w:eastAsia="zh-CN"/>
        </w:rPr>
      </w:pPr>
    </w:p>
    <w:p>
      <w:pPr>
        <w:pStyle w:val="8"/>
        <w:numPr>
          <w:ilvl w:val="0"/>
          <w:numId w:val="0"/>
        </w:numPr>
        <w:spacing w:beforeLines="50" w:afterLines="50"/>
        <w:ind w:leftChars="0"/>
        <w:rPr>
          <w:rFonts w:hint="eastAsia" w:ascii="仿宋" w:hAnsi="仿宋" w:eastAsia="仿宋" w:cs="仿宋"/>
          <w:b/>
          <w:bCs/>
          <w:lang w:val="en-US" w:eastAsia="zh-CN"/>
        </w:rPr>
      </w:pPr>
      <w:r>
        <w:rPr>
          <w:rFonts w:hint="eastAsia" w:ascii="仿宋" w:hAnsi="仿宋" w:eastAsia="仿宋" w:cs="仿宋"/>
          <w:b/>
          <w:bCs/>
          <w:lang w:val="en-US" w:eastAsia="zh-CN"/>
        </w:rPr>
        <w:t>第一篇  社会组织篇 （10学时）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内容：组织成员关于组织形象的心理（2学时）；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组织领导心理（3学时）；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危机公共关系及案例分析（3学时）；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社会组织群体心理（2学时）。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重点：组织成员关于组织的观念；组织领导的形象决策与管理心理；危机公共关系</w:t>
      </w:r>
    </w:p>
    <w:p>
      <w:pPr>
        <w:pStyle w:val="8"/>
        <w:numPr>
          <w:ilvl w:val="0"/>
          <w:numId w:val="0"/>
        </w:numPr>
        <w:spacing w:beforeLines="50" w:afterLines="50"/>
        <w:ind w:leftChars="0"/>
        <w:rPr>
          <w:rFonts w:hint="eastAsia" w:ascii="仿宋" w:hAnsi="仿宋" w:eastAsia="仿宋" w:cs="仿宋"/>
          <w:lang w:val="en-US" w:eastAsia="zh-CN"/>
        </w:rPr>
      </w:pPr>
    </w:p>
    <w:p>
      <w:pPr>
        <w:pStyle w:val="8"/>
        <w:numPr>
          <w:ilvl w:val="0"/>
          <w:numId w:val="0"/>
        </w:numPr>
        <w:spacing w:beforeLines="50" w:afterLines="50"/>
        <w:ind w:leftChars="0"/>
        <w:rPr>
          <w:rFonts w:hint="eastAsia" w:ascii="仿宋" w:hAnsi="仿宋" w:eastAsia="仿宋" w:cs="仿宋"/>
          <w:b/>
          <w:bCs/>
          <w:lang w:val="en-US" w:eastAsia="zh-CN"/>
        </w:rPr>
      </w:pPr>
      <w:r>
        <w:rPr>
          <w:rFonts w:hint="eastAsia" w:ascii="仿宋" w:hAnsi="仿宋" w:eastAsia="仿宋" w:cs="仿宋"/>
          <w:b/>
          <w:bCs/>
          <w:lang w:val="en-US" w:eastAsia="zh-CN"/>
        </w:rPr>
        <w:t>第二篇   公众篇（8学时）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内容：公众的角色心理特征；（2学时）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公众的其他社会心理特征；（2学时）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公众心理变化的基本动因（2学时）   </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公众的心理效应和对公众的认知（2学时）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重点：公众的角色心理特征；影响公众心理效应的因素</w:t>
      </w:r>
    </w:p>
    <w:p>
      <w:pPr>
        <w:pStyle w:val="8"/>
        <w:numPr>
          <w:ilvl w:val="0"/>
          <w:numId w:val="0"/>
        </w:numPr>
        <w:spacing w:beforeLines="50" w:afterLines="50"/>
        <w:ind w:leftChars="0"/>
        <w:rPr>
          <w:rFonts w:hint="eastAsia" w:ascii="仿宋" w:hAnsi="仿宋" w:eastAsia="仿宋" w:cs="仿宋"/>
          <w:lang w:val="en-US" w:eastAsia="zh-CN"/>
        </w:rPr>
      </w:pPr>
    </w:p>
    <w:p>
      <w:pPr>
        <w:pStyle w:val="8"/>
        <w:numPr>
          <w:ilvl w:val="0"/>
          <w:numId w:val="0"/>
        </w:numPr>
        <w:spacing w:beforeLines="50" w:afterLines="50"/>
        <w:ind w:leftChars="0"/>
        <w:rPr>
          <w:rFonts w:hint="eastAsia" w:ascii="仿宋" w:hAnsi="仿宋" w:eastAsia="仿宋" w:cs="仿宋"/>
          <w:b/>
          <w:bCs/>
          <w:lang w:val="en-US" w:eastAsia="zh-CN"/>
        </w:rPr>
      </w:pPr>
      <w:r>
        <w:rPr>
          <w:rFonts w:hint="eastAsia" w:ascii="仿宋" w:hAnsi="仿宋" w:eastAsia="仿宋" w:cs="仿宋"/>
          <w:b/>
          <w:bCs/>
          <w:lang w:val="en-US" w:eastAsia="zh-CN"/>
        </w:rPr>
        <w:t>第三篇    公关礼仪篇（16学时）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内容：（一）公关人员的心理素质与修养（3学时）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（二）会面的礼仪（2学时）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（三）着装的礼仪（2学时）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（四）馈赠的礼仪（2学时）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（五）赴宴的礼仪 （2学时）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（六）涉外礼仪 （3学时）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（七）公关语言艺术 （2学时）</w:t>
      </w:r>
    </w:p>
    <w:p>
      <w:pPr>
        <w:pStyle w:val="8"/>
        <w:numPr>
          <w:ilvl w:val="0"/>
          <w:numId w:val="0"/>
        </w:numPr>
        <w:spacing w:beforeLines="50" w:afterLines="50"/>
        <w:ind w:leftChars="0"/>
        <w:rPr>
          <w:rFonts w:hint="eastAsia" w:ascii="仿宋" w:hAnsi="仿宋" w:eastAsia="仿宋" w:cs="仿宋"/>
          <w:lang w:val="en-US" w:eastAsia="zh-CN"/>
        </w:rPr>
      </w:pPr>
      <w:r>
        <w:rPr>
          <w:rFonts w:hint="eastAsia" w:ascii="仿宋" w:hAnsi="仿宋" w:eastAsia="仿宋" w:cs="仿宋"/>
          <w:lang w:val="en-US" w:eastAsia="zh-CN"/>
        </w:rPr>
        <w:t xml:space="preserve">      重点：公关人员的心理素质与修养；涉外礼仪</w:t>
      </w:r>
    </w:p>
    <w:p>
      <w:pPr>
        <w:pStyle w:val="8"/>
        <w:numPr>
          <w:ilvl w:val="0"/>
          <w:numId w:val="0"/>
        </w:numPr>
        <w:spacing w:beforeLines="50" w:afterLines="50"/>
        <w:ind w:leftChars="0"/>
        <w:rPr>
          <w:rFonts w:hint="eastAsia" w:ascii="仿宋" w:hAnsi="仿宋" w:eastAsia="仿宋" w:cs="仿宋"/>
          <w:lang w:val="en-US" w:eastAsia="zh-CN"/>
        </w:rPr>
      </w:pPr>
    </w:p>
    <w:p>
      <w:pPr>
        <w:pStyle w:val="8"/>
        <w:numPr>
          <w:ilvl w:val="0"/>
          <w:numId w:val="1"/>
        </w:numPr>
        <w:spacing w:beforeLines="50" w:afterLines="50"/>
        <w:ind w:firstLineChars="0"/>
        <w:rPr>
          <w:rFonts w:ascii="黑体" w:hAnsi="黑体" w:eastAsia="黑体"/>
        </w:rPr>
      </w:pPr>
      <w:r>
        <w:rPr>
          <w:rFonts w:hint="eastAsia" w:ascii="黑体" w:hAnsi="黑体" w:eastAsia="黑体"/>
        </w:rPr>
        <w:t>推荐教材及教学参考书</w:t>
      </w:r>
    </w:p>
    <w:p>
      <w:pPr>
        <w:pStyle w:val="8"/>
        <w:numPr>
          <w:ilvl w:val="0"/>
          <w:numId w:val="2"/>
        </w:numPr>
        <w:ind w:firstLineChars="0"/>
        <w:rPr>
          <w:rFonts w:ascii="仿宋" w:hAnsi="仿宋" w:eastAsia="仿宋"/>
        </w:rPr>
      </w:pPr>
      <w:r>
        <w:rPr>
          <w:rFonts w:hint="eastAsia" w:ascii="仿宋" w:hAnsi="仿宋" w:eastAsia="仿宋"/>
        </w:rPr>
        <w:t>黄希庭</w:t>
      </w:r>
      <w:r>
        <w:rPr>
          <w:rFonts w:hint="eastAsia" w:ascii="仿宋" w:hAnsi="仿宋" w:eastAsia="仿宋"/>
          <w:lang w:eastAsia="zh-CN"/>
        </w:rPr>
        <w:t>、</w:t>
      </w:r>
      <w:r>
        <w:rPr>
          <w:rFonts w:hint="eastAsia" w:ascii="仿宋" w:hAnsi="仿宋" w:eastAsia="仿宋"/>
        </w:rPr>
        <w:t>秦启文 (编</w:t>
      </w:r>
      <w:r>
        <w:rPr>
          <w:rFonts w:hint="eastAsia" w:ascii="仿宋" w:hAnsi="仿宋" w:eastAsia="仿宋"/>
          <w:lang w:val="en-US" w:eastAsia="zh-CN"/>
        </w:rPr>
        <w:t>著</w:t>
      </w:r>
      <w:r>
        <w:rPr>
          <w:rFonts w:hint="eastAsia" w:ascii="仿宋" w:hAnsi="仿宋" w:eastAsia="仿宋"/>
        </w:rPr>
        <w:t>)，《</w:t>
      </w:r>
      <w:r>
        <w:rPr>
          <w:rFonts w:hint="eastAsia" w:ascii="仿宋" w:hAnsi="仿宋" w:eastAsia="仿宋"/>
          <w:lang w:val="en-US" w:eastAsia="zh-CN"/>
        </w:rPr>
        <w:t>公共关系心理学</w:t>
      </w:r>
      <w:r>
        <w:rPr>
          <w:rFonts w:hint="eastAsia" w:ascii="仿宋" w:hAnsi="仿宋" w:eastAsia="仿宋"/>
        </w:rPr>
        <w:t>》，</w:t>
      </w:r>
      <w:r>
        <w:rPr>
          <w:rFonts w:hint="eastAsia" w:ascii="仿宋" w:hAnsi="仿宋" w:eastAsia="仿宋"/>
          <w:lang w:val="en-US" w:eastAsia="zh-CN"/>
        </w:rPr>
        <w:t>华东师范大学</w:t>
      </w:r>
      <w:r>
        <w:rPr>
          <w:rFonts w:hint="eastAsia" w:ascii="仿宋" w:hAnsi="仿宋" w:eastAsia="仿宋"/>
        </w:rPr>
        <w:t>出版社，</w:t>
      </w:r>
      <w:r>
        <w:rPr>
          <w:rFonts w:hint="eastAsia" w:ascii="仿宋" w:hAnsi="仿宋" w:eastAsia="仿宋"/>
          <w:lang w:val="en-US" w:eastAsia="zh-CN"/>
        </w:rPr>
        <w:t>2002</w:t>
      </w:r>
      <w:r>
        <w:rPr>
          <w:rFonts w:hint="eastAsia" w:ascii="仿宋" w:hAnsi="仿宋" w:eastAsia="仿宋"/>
        </w:rPr>
        <w:t>年</w:t>
      </w:r>
      <w:r>
        <w:rPr>
          <w:rFonts w:hint="eastAsia" w:ascii="仿宋" w:hAnsi="仿宋" w:eastAsia="仿宋"/>
          <w:lang w:val="en-US" w:eastAsia="zh-CN"/>
        </w:rPr>
        <w:t>出</w:t>
      </w:r>
      <w:r>
        <w:rPr>
          <w:rFonts w:hint="eastAsia" w:ascii="仿宋" w:hAnsi="仿宋" w:eastAsia="仿宋"/>
        </w:rPr>
        <w:t>版。</w:t>
      </w:r>
    </w:p>
    <w:p>
      <w:pPr>
        <w:pStyle w:val="8"/>
        <w:numPr>
          <w:ilvl w:val="0"/>
          <w:numId w:val="2"/>
        </w:numPr>
        <w:ind w:firstLineChars="0"/>
        <w:rPr>
          <w:rFonts w:ascii="仿宋" w:hAnsi="仿宋" w:eastAsia="仿宋"/>
        </w:rPr>
      </w:pPr>
      <w:r>
        <w:rPr>
          <w:rFonts w:hint="eastAsia" w:ascii="仿宋" w:hAnsi="仿宋" w:eastAsia="仿宋"/>
          <w:lang w:eastAsia="zh-CN"/>
        </w:rPr>
        <w:t>（美国）格伦·布鲁姆 / 艾伦.·森特，《</w:t>
      </w:r>
      <w:r>
        <w:rPr>
          <w:rFonts w:hint="eastAsia" w:ascii="仿宋" w:hAnsi="仿宋" w:eastAsia="仿宋"/>
          <w:lang w:val="en-US" w:eastAsia="zh-CN"/>
        </w:rPr>
        <w:t>有效的公共关系》，华夏出版社，2002年出版。</w:t>
      </w:r>
    </w:p>
    <w:p>
      <w:pPr>
        <w:pStyle w:val="8"/>
        <w:numPr>
          <w:ilvl w:val="0"/>
          <w:numId w:val="2"/>
        </w:numPr>
        <w:ind w:firstLineChars="0"/>
        <w:rPr>
          <w:rFonts w:ascii="仿宋" w:hAnsi="仿宋" w:eastAsia="仿宋"/>
        </w:rPr>
      </w:pPr>
      <w:r>
        <w:rPr>
          <w:rFonts w:hint="eastAsia" w:ascii="仿宋" w:hAnsi="仿宋" w:eastAsia="仿宋"/>
          <w:lang w:val="en-US" w:eastAsia="zh-CN"/>
        </w:rPr>
        <w:t>许芳，《如何进行危机管理》，北京大学出版社，2004年出版。</w:t>
      </w:r>
    </w:p>
    <w:p>
      <w:pPr>
        <w:pStyle w:val="8"/>
        <w:numPr>
          <w:ilvl w:val="0"/>
          <w:numId w:val="2"/>
        </w:numPr>
        <w:ind w:firstLineChars="0"/>
        <w:rPr>
          <w:rFonts w:ascii="仿宋" w:hAnsi="仿宋" w:eastAsia="仿宋"/>
        </w:rPr>
      </w:pPr>
      <w:r>
        <w:rPr>
          <w:rFonts w:hint="eastAsia" w:ascii="仿宋" w:hAnsi="仿宋" w:eastAsia="仿宋"/>
        </w:rPr>
        <w:t>赵景卓</w:t>
      </w:r>
      <w:r>
        <w:rPr>
          <w:rFonts w:hint="eastAsia" w:ascii="仿宋" w:hAnsi="仿宋" w:eastAsia="仿宋"/>
          <w:lang w:eastAsia="zh-CN"/>
        </w:rPr>
        <w:t>，</w:t>
      </w:r>
      <w:r>
        <w:rPr>
          <w:rFonts w:hint="eastAsia" w:ascii="仿宋" w:hAnsi="仿宋" w:eastAsia="仿宋"/>
        </w:rPr>
        <w:t>《公关礼仪》，中国财政经济出版社，1995</w:t>
      </w:r>
      <w:r>
        <w:rPr>
          <w:rFonts w:hint="eastAsia" w:ascii="仿宋" w:hAnsi="仿宋" w:eastAsia="仿宋"/>
          <w:lang w:val="en-US" w:eastAsia="zh-CN"/>
        </w:rPr>
        <w:t>年出版。</w:t>
      </w:r>
    </w:p>
    <w:p>
      <w:pPr>
        <w:pStyle w:val="8"/>
        <w:numPr>
          <w:ilvl w:val="0"/>
          <w:numId w:val="2"/>
        </w:numPr>
        <w:ind w:firstLineChars="0"/>
        <w:rPr>
          <w:rFonts w:ascii="仿宋" w:hAnsi="仿宋" w:eastAsia="仿宋"/>
        </w:rPr>
      </w:pPr>
      <w:r>
        <w:rPr>
          <w:rFonts w:hint="eastAsia" w:ascii="仿宋" w:hAnsi="仿宋" w:eastAsia="仿宋"/>
        </w:rPr>
        <w:t>金鸣</w:t>
      </w:r>
      <w:r>
        <w:rPr>
          <w:rFonts w:hint="eastAsia" w:ascii="仿宋" w:hAnsi="仿宋" w:eastAsia="仿宋"/>
          <w:lang w:eastAsia="zh-CN"/>
        </w:rPr>
        <w:t>，</w:t>
      </w:r>
      <w:r>
        <w:rPr>
          <w:rFonts w:hint="eastAsia" w:ascii="仿宋" w:hAnsi="仿宋" w:eastAsia="仿宋"/>
        </w:rPr>
        <w:t>《成功公关语言训练》</w:t>
      </w:r>
      <w:r>
        <w:rPr>
          <w:rFonts w:hint="eastAsia" w:ascii="仿宋" w:hAnsi="仿宋" w:eastAsia="仿宋"/>
          <w:lang w:eastAsia="zh-CN"/>
        </w:rPr>
        <w:t>，</w:t>
      </w:r>
      <w:r>
        <w:rPr>
          <w:rFonts w:hint="eastAsia" w:ascii="仿宋" w:hAnsi="仿宋" w:eastAsia="仿宋"/>
        </w:rPr>
        <w:t>海潮出版社，</w:t>
      </w:r>
      <w:r>
        <w:rPr>
          <w:rFonts w:hint="eastAsia" w:ascii="仿宋" w:hAnsi="仿宋" w:eastAsia="仿宋"/>
          <w:lang w:val="en-US" w:eastAsia="zh-CN"/>
        </w:rPr>
        <w:t>2003年出版。</w:t>
      </w:r>
    </w:p>
    <w:p>
      <w:pPr>
        <w:pStyle w:val="8"/>
        <w:numPr>
          <w:ilvl w:val="0"/>
          <w:numId w:val="1"/>
        </w:numPr>
        <w:spacing w:beforeLines="50" w:afterLines="50"/>
        <w:ind w:firstLineChars="0"/>
        <w:rPr>
          <w:rFonts w:ascii="黑体" w:hAnsi="黑体" w:eastAsia="黑体"/>
        </w:rPr>
      </w:pPr>
      <w:r>
        <w:rPr>
          <w:rFonts w:hint="eastAsia" w:ascii="黑体" w:hAnsi="黑体" w:eastAsia="黑体"/>
        </w:rPr>
        <w:t>授课形式</w:t>
      </w:r>
    </w:p>
    <w:p>
      <w:pPr>
        <w:ind w:firstLine="420" w:firstLineChars="200"/>
        <w:rPr>
          <w:rFonts w:ascii="仿宋" w:hAnsi="仿宋" w:eastAsia="仿宋"/>
        </w:rPr>
      </w:pPr>
      <w:r>
        <w:rPr>
          <w:rFonts w:hint="eastAsia" w:ascii="仿宋" w:hAnsi="仿宋" w:eastAsia="仿宋"/>
        </w:rPr>
        <w:t>课堂讲授、小组讨论</w:t>
      </w:r>
      <w:r>
        <w:rPr>
          <w:rFonts w:hint="eastAsia" w:ascii="仿宋" w:hAnsi="仿宋" w:eastAsia="仿宋"/>
          <w:lang w:val="en-US" w:eastAsia="zh-CN"/>
        </w:rPr>
        <w:t>和</w:t>
      </w:r>
      <w:r>
        <w:rPr>
          <w:rFonts w:hint="eastAsia" w:ascii="仿宋" w:hAnsi="仿宋" w:eastAsia="仿宋"/>
        </w:rPr>
        <w:t>汇报等</w:t>
      </w:r>
    </w:p>
    <w:p>
      <w:pPr>
        <w:pStyle w:val="8"/>
        <w:numPr>
          <w:ilvl w:val="0"/>
          <w:numId w:val="1"/>
        </w:numPr>
        <w:spacing w:beforeLines="50" w:afterLines="50"/>
        <w:ind w:firstLineChars="0"/>
        <w:rPr>
          <w:rFonts w:ascii="黑体" w:hAnsi="黑体" w:eastAsia="黑体"/>
        </w:rPr>
      </w:pPr>
      <w:r>
        <w:rPr>
          <w:rFonts w:hint="eastAsia" w:ascii="黑体" w:hAnsi="黑体" w:eastAsia="黑体"/>
        </w:rPr>
        <w:t>考核方式及分数构成</w:t>
      </w:r>
    </w:p>
    <w:p>
      <w:pPr>
        <w:ind w:firstLine="420" w:firstLineChars="200"/>
        <w:rPr>
          <w:rFonts w:ascii="仿宋" w:hAnsi="仿宋" w:eastAsia="仿宋"/>
        </w:rPr>
      </w:pPr>
      <w:r>
        <w:rPr>
          <w:rFonts w:hint="eastAsia" w:ascii="仿宋" w:hAnsi="仿宋" w:eastAsia="仿宋"/>
        </w:rPr>
        <w:t>平时成绩：</w:t>
      </w:r>
      <w:r>
        <w:rPr>
          <w:rFonts w:hint="eastAsia" w:ascii="仿宋" w:hAnsi="仿宋" w:eastAsia="仿宋"/>
          <w:lang w:val="en-US" w:eastAsia="zh-CN"/>
        </w:rPr>
        <w:t>4</w:t>
      </w:r>
      <w:r>
        <w:rPr>
          <w:rFonts w:hint="eastAsia" w:ascii="仿宋" w:hAnsi="仿宋" w:eastAsia="仿宋"/>
        </w:rPr>
        <w:t>0%</w:t>
      </w:r>
    </w:p>
    <w:p>
      <w:pPr>
        <w:ind w:firstLine="420" w:firstLineChars="200"/>
        <w:rPr>
          <w:rFonts w:ascii="仿宋" w:hAnsi="仿宋" w:eastAsia="仿宋"/>
        </w:rPr>
      </w:pPr>
      <w:r>
        <w:rPr>
          <w:rFonts w:hint="eastAsia" w:ascii="仿宋" w:hAnsi="仿宋" w:eastAsia="仿宋"/>
        </w:rPr>
        <w:t>期末考试：</w:t>
      </w:r>
      <w:r>
        <w:rPr>
          <w:rFonts w:hint="eastAsia" w:ascii="仿宋" w:hAnsi="仿宋" w:eastAsia="仿宋"/>
          <w:lang w:val="en-US" w:eastAsia="zh-CN"/>
        </w:rPr>
        <w:t>6</w:t>
      </w:r>
      <w:r>
        <w:rPr>
          <w:rFonts w:hint="eastAsia" w:ascii="仿宋" w:hAnsi="仿宋" w:eastAsia="仿宋"/>
        </w:rPr>
        <w:t>0%</w:t>
      </w:r>
    </w:p>
    <w:p>
      <w:pPr>
        <w:pStyle w:val="8"/>
        <w:numPr>
          <w:ilvl w:val="0"/>
          <w:numId w:val="1"/>
        </w:numPr>
        <w:spacing w:beforeLines="50" w:afterLines="50"/>
        <w:ind w:firstLineChars="0"/>
        <w:rPr>
          <w:rFonts w:ascii="黑体" w:hAnsi="黑体" w:eastAsia="黑体"/>
        </w:rPr>
      </w:pPr>
      <w:r>
        <w:rPr>
          <w:rFonts w:hint="eastAsia" w:ascii="黑体" w:hAnsi="黑体" w:eastAsia="黑体"/>
        </w:rPr>
        <w:t>教师建议</w:t>
      </w:r>
    </w:p>
    <w:p>
      <w:pPr>
        <w:ind w:firstLine="420" w:firstLineChars="200"/>
        <w:rPr>
          <w:rFonts w:ascii="仿宋" w:hAnsi="仿宋" w:eastAsia="仿宋"/>
        </w:rPr>
      </w:pPr>
      <w:r>
        <w:rPr>
          <w:rFonts w:hint="eastAsia" w:ascii="仿宋" w:hAnsi="仿宋" w:eastAsia="仿宋"/>
        </w:rPr>
        <w:t>学生在学习本课程前</w:t>
      </w:r>
      <w:r>
        <w:rPr>
          <w:rFonts w:hint="eastAsia" w:ascii="仿宋" w:hAnsi="仿宋" w:eastAsia="仿宋"/>
          <w:lang w:val="en-US" w:eastAsia="zh-CN"/>
        </w:rPr>
        <w:t>最好已修完《普通心理学》、《社会心理学》等基础课程。</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1748731"/>
    </w:sdtPr>
    <w:sdtContent>
      <w:sdt>
        <w:sdtPr>
          <w:id w:val="171357217"/>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w:t>
            </w:r>
            <w:r>
              <w:rPr>
                <w:b/>
                <w:sz w:val="24"/>
                <w:szCs w:val="24"/>
              </w:rPr>
              <w:fldChar w:fldCharType="end"/>
            </w:r>
          </w:p>
        </w:sdtContent>
      </w:sdt>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drawing>
        <wp:inline distT="0" distB="0" distL="0" distR="0">
          <wp:extent cx="2258060" cy="752475"/>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logo.png"/>
                  <pic:cNvPicPr>
                    <a:picLocks noChangeAspect="1"/>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C41D0C"/>
    <w:multiLevelType w:val="multilevel"/>
    <w:tmpl w:val="54C41D0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8B1304"/>
    <w:multiLevelType w:val="multilevel"/>
    <w:tmpl w:val="5C8B1304"/>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1A53"/>
    <w:rsid w:val="0000042F"/>
    <w:rsid w:val="00002821"/>
    <w:rsid w:val="00033623"/>
    <w:rsid w:val="00036743"/>
    <w:rsid w:val="00042F11"/>
    <w:rsid w:val="00044015"/>
    <w:rsid w:val="00051125"/>
    <w:rsid w:val="00051925"/>
    <w:rsid w:val="00054199"/>
    <w:rsid w:val="000771CB"/>
    <w:rsid w:val="00081EFB"/>
    <w:rsid w:val="000C02D2"/>
    <w:rsid w:val="000D4553"/>
    <w:rsid w:val="000E3342"/>
    <w:rsid w:val="000E5812"/>
    <w:rsid w:val="000F7EDA"/>
    <w:rsid w:val="001068B4"/>
    <w:rsid w:val="00116EED"/>
    <w:rsid w:val="0014102E"/>
    <w:rsid w:val="001426EA"/>
    <w:rsid w:val="001446A0"/>
    <w:rsid w:val="0015656D"/>
    <w:rsid w:val="00160FCD"/>
    <w:rsid w:val="00162945"/>
    <w:rsid w:val="00166E09"/>
    <w:rsid w:val="00182AC9"/>
    <w:rsid w:val="001B568D"/>
    <w:rsid w:val="001D7F9E"/>
    <w:rsid w:val="001F19B0"/>
    <w:rsid w:val="001F48F4"/>
    <w:rsid w:val="001F736D"/>
    <w:rsid w:val="00202BCE"/>
    <w:rsid w:val="0020467E"/>
    <w:rsid w:val="0022447E"/>
    <w:rsid w:val="002254A3"/>
    <w:rsid w:val="00247728"/>
    <w:rsid w:val="002B1A98"/>
    <w:rsid w:val="002B4110"/>
    <w:rsid w:val="002F4B40"/>
    <w:rsid w:val="0030714D"/>
    <w:rsid w:val="00312C82"/>
    <w:rsid w:val="00321EE6"/>
    <w:rsid w:val="00332AD5"/>
    <w:rsid w:val="00344750"/>
    <w:rsid w:val="0035482B"/>
    <w:rsid w:val="00360C93"/>
    <w:rsid w:val="0038020D"/>
    <w:rsid w:val="00397D41"/>
    <w:rsid w:val="003C0EE6"/>
    <w:rsid w:val="003C52AE"/>
    <w:rsid w:val="003C6B91"/>
    <w:rsid w:val="003D0C32"/>
    <w:rsid w:val="003D163B"/>
    <w:rsid w:val="003D299D"/>
    <w:rsid w:val="003D7B18"/>
    <w:rsid w:val="003F5348"/>
    <w:rsid w:val="004004F0"/>
    <w:rsid w:val="00407D10"/>
    <w:rsid w:val="00476A62"/>
    <w:rsid w:val="004B790F"/>
    <w:rsid w:val="004B7DB4"/>
    <w:rsid w:val="004D26A9"/>
    <w:rsid w:val="004E2946"/>
    <w:rsid w:val="004E6DFF"/>
    <w:rsid w:val="00532B36"/>
    <w:rsid w:val="005422EE"/>
    <w:rsid w:val="00543504"/>
    <w:rsid w:val="0054719D"/>
    <w:rsid w:val="00556459"/>
    <w:rsid w:val="00567427"/>
    <w:rsid w:val="00594E6C"/>
    <w:rsid w:val="005A0282"/>
    <w:rsid w:val="005C0916"/>
    <w:rsid w:val="005C0964"/>
    <w:rsid w:val="005D247D"/>
    <w:rsid w:val="005D4CAF"/>
    <w:rsid w:val="005E27B1"/>
    <w:rsid w:val="006135D4"/>
    <w:rsid w:val="006173AA"/>
    <w:rsid w:val="00617B9B"/>
    <w:rsid w:val="006300E8"/>
    <w:rsid w:val="00634583"/>
    <w:rsid w:val="00636B25"/>
    <w:rsid w:val="006448FE"/>
    <w:rsid w:val="006476D6"/>
    <w:rsid w:val="006530FF"/>
    <w:rsid w:val="006734C2"/>
    <w:rsid w:val="0067362C"/>
    <w:rsid w:val="006826F7"/>
    <w:rsid w:val="00695811"/>
    <w:rsid w:val="006B1D5B"/>
    <w:rsid w:val="006B1DA4"/>
    <w:rsid w:val="006C5B51"/>
    <w:rsid w:val="006C7AB7"/>
    <w:rsid w:val="006F22A4"/>
    <w:rsid w:val="00724240"/>
    <w:rsid w:val="00742133"/>
    <w:rsid w:val="007474BA"/>
    <w:rsid w:val="00761BB3"/>
    <w:rsid w:val="00763129"/>
    <w:rsid w:val="00764602"/>
    <w:rsid w:val="0076516D"/>
    <w:rsid w:val="007748BB"/>
    <w:rsid w:val="00780BB7"/>
    <w:rsid w:val="007817E4"/>
    <w:rsid w:val="007C2B04"/>
    <w:rsid w:val="007C417F"/>
    <w:rsid w:val="00827D61"/>
    <w:rsid w:val="00853734"/>
    <w:rsid w:val="00854136"/>
    <w:rsid w:val="008767C9"/>
    <w:rsid w:val="008A5CE9"/>
    <w:rsid w:val="008D48EF"/>
    <w:rsid w:val="00905579"/>
    <w:rsid w:val="0091418D"/>
    <w:rsid w:val="00917501"/>
    <w:rsid w:val="00923A51"/>
    <w:rsid w:val="0094175F"/>
    <w:rsid w:val="00941E12"/>
    <w:rsid w:val="0096638A"/>
    <w:rsid w:val="00972F32"/>
    <w:rsid w:val="009F3617"/>
    <w:rsid w:val="009F5741"/>
    <w:rsid w:val="00A01FA8"/>
    <w:rsid w:val="00A05E53"/>
    <w:rsid w:val="00A25058"/>
    <w:rsid w:val="00A26B3B"/>
    <w:rsid w:val="00A54BA2"/>
    <w:rsid w:val="00A61341"/>
    <w:rsid w:val="00A61C39"/>
    <w:rsid w:val="00A63FB1"/>
    <w:rsid w:val="00A71FD2"/>
    <w:rsid w:val="00A80784"/>
    <w:rsid w:val="00A87AED"/>
    <w:rsid w:val="00A87F13"/>
    <w:rsid w:val="00AB0835"/>
    <w:rsid w:val="00AF3F89"/>
    <w:rsid w:val="00B02BA5"/>
    <w:rsid w:val="00B312BB"/>
    <w:rsid w:val="00B3258B"/>
    <w:rsid w:val="00B40F3A"/>
    <w:rsid w:val="00B54E94"/>
    <w:rsid w:val="00B54EC6"/>
    <w:rsid w:val="00B83788"/>
    <w:rsid w:val="00B866C4"/>
    <w:rsid w:val="00BA059C"/>
    <w:rsid w:val="00BB1361"/>
    <w:rsid w:val="00BC178F"/>
    <w:rsid w:val="00BD11FD"/>
    <w:rsid w:val="00BE0DA5"/>
    <w:rsid w:val="00BE2F94"/>
    <w:rsid w:val="00BE408C"/>
    <w:rsid w:val="00C20FCF"/>
    <w:rsid w:val="00C322A8"/>
    <w:rsid w:val="00C761BE"/>
    <w:rsid w:val="00C84E0D"/>
    <w:rsid w:val="00C90605"/>
    <w:rsid w:val="00CA0D58"/>
    <w:rsid w:val="00CA5997"/>
    <w:rsid w:val="00CB1A74"/>
    <w:rsid w:val="00CC73A0"/>
    <w:rsid w:val="00CD288A"/>
    <w:rsid w:val="00CD6806"/>
    <w:rsid w:val="00D11E13"/>
    <w:rsid w:val="00D123DE"/>
    <w:rsid w:val="00D152C6"/>
    <w:rsid w:val="00D31665"/>
    <w:rsid w:val="00D500ED"/>
    <w:rsid w:val="00D53296"/>
    <w:rsid w:val="00D5381E"/>
    <w:rsid w:val="00D64387"/>
    <w:rsid w:val="00D721BF"/>
    <w:rsid w:val="00D81899"/>
    <w:rsid w:val="00D941A0"/>
    <w:rsid w:val="00DA2586"/>
    <w:rsid w:val="00DA6CA4"/>
    <w:rsid w:val="00DC0608"/>
    <w:rsid w:val="00DC11C2"/>
    <w:rsid w:val="00DF258C"/>
    <w:rsid w:val="00DF6DBC"/>
    <w:rsid w:val="00E06035"/>
    <w:rsid w:val="00E11D31"/>
    <w:rsid w:val="00E13F90"/>
    <w:rsid w:val="00E1716C"/>
    <w:rsid w:val="00E344FB"/>
    <w:rsid w:val="00E40A6E"/>
    <w:rsid w:val="00E4768E"/>
    <w:rsid w:val="00E615CC"/>
    <w:rsid w:val="00E71A53"/>
    <w:rsid w:val="00E72EAA"/>
    <w:rsid w:val="00E77D0B"/>
    <w:rsid w:val="00EA3994"/>
    <w:rsid w:val="00EC75F9"/>
    <w:rsid w:val="00ED2BB8"/>
    <w:rsid w:val="00EE05AD"/>
    <w:rsid w:val="00EF3CA5"/>
    <w:rsid w:val="00F01CE2"/>
    <w:rsid w:val="00F047D7"/>
    <w:rsid w:val="00F2013F"/>
    <w:rsid w:val="00F2248C"/>
    <w:rsid w:val="00F37F93"/>
    <w:rsid w:val="00F40621"/>
    <w:rsid w:val="00F407CF"/>
    <w:rsid w:val="00F40A0B"/>
    <w:rsid w:val="00F71C68"/>
    <w:rsid w:val="00F81A4C"/>
    <w:rsid w:val="00F91C2B"/>
    <w:rsid w:val="00FA0AE2"/>
    <w:rsid w:val="00FA54BB"/>
    <w:rsid w:val="00FB0CE3"/>
    <w:rsid w:val="00FC16B5"/>
    <w:rsid w:val="00FE3F69"/>
    <w:rsid w:val="04850A31"/>
    <w:rsid w:val="05AF3FD4"/>
    <w:rsid w:val="0C1D3D32"/>
    <w:rsid w:val="0FAA7B30"/>
    <w:rsid w:val="12580E95"/>
    <w:rsid w:val="12D144F9"/>
    <w:rsid w:val="194E0990"/>
    <w:rsid w:val="19E86537"/>
    <w:rsid w:val="212A729E"/>
    <w:rsid w:val="31634E42"/>
    <w:rsid w:val="38290FD0"/>
    <w:rsid w:val="3A6C4FC9"/>
    <w:rsid w:val="3DDE2C4C"/>
    <w:rsid w:val="3E9250A4"/>
    <w:rsid w:val="4232578B"/>
    <w:rsid w:val="45835F6D"/>
    <w:rsid w:val="463537A4"/>
    <w:rsid w:val="497C2AD0"/>
    <w:rsid w:val="5756786C"/>
    <w:rsid w:val="602C2A35"/>
    <w:rsid w:val="629061BA"/>
    <w:rsid w:val="62A66A5E"/>
    <w:rsid w:val="68F1117A"/>
    <w:rsid w:val="6D5E7084"/>
    <w:rsid w:val="6E021650"/>
    <w:rsid w:val="7E150A26"/>
    <w:rsid w:val="7EF1174C"/>
    <w:rsid w:val="7FFA50D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 w:type="character" w:customStyle="1" w:styleId="9">
    <w:name w:val="页眉 Char"/>
    <w:basedOn w:val="5"/>
    <w:link w:val="4"/>
    <w:semiHidden/>
    <w:qFormat/>
    <w:uiPriority w:val="99"/>
    <w:rPr>
      <w:sz w:val="18"/>
      <w:szCs w:val="18"/>
    </w:rPr>
  </w:style>
  <w:style w:type="character" w:customStyle="1" w:styleId="10">
    <w:name w:val="页脚 Char"/>
    <w:basedOn w:val="5"/>
    <w:link w:val="3"/>
    <w:qFormat/>
    <w:uiPriority w:val="99"/>
    <w:rPr>
      <w:sz w:val="18"/>
      <w:szCs w:val="18"/>
    </w:rPr>
  </w:style>
  <w:style w:type="character" w:customStyle="1" w:styleId="11">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60D479-8CC7-4A79-B3FA-85E3CAA917FE}">
  <ds:schemaRefs/>
</ds:datastoreItem>
</file>

<file path=docProps/app.xml><?xml version="1.0" encoding="utf-8"?>
<Properties xmlns="http://schemas.openxmlformats.org/officeDocument/2006/extended-properties" xmlns:vt="http://schemas.openxmlformats.org/officeDocument/2006/docPropsVTypes">
  <Template>Normal</Template>
  <Pages>2</Pages>
  <Words>68</Words>
  <Characters>391</Characters>
  <Lines>3</Lines>
  <Paragraphs>1</Paragraphs>
  <ScaleCrop>false</ScaleCrop>
  <LinksUpToDate>false</LinksUpToDate>
  <CharactersWithSpaces>458</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2016-06-21T05:21:00Z</dcterms:created>
  <dc:creator>Administrator</dc:creator>
  <cp:lastModifiedBy>PCX</cp:lastModifiedBy>
  <cp:lastPrinted>2016-06-21T06:43:00Z</cp:lastPrinted>
  <dcterms:modified xsi:type="dcterms:W3CDTF">2016-08-11T12:38:19Z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